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0" w:leftChars="0" w:hanging="420" w:firstLineChars="0"/>
        <w:rPr>
          <w:b/>
          <w:bCs/>
          <w:color w:val="FF0000"/>
          <w:sz w:val="36"/>
          <w:szCs w:val="36"/>
        </w:rPr>
      </w:pPr>
      <w:r>
        <w:rPr>
          <w:b/>
          <w:bCs/>
          <w:color w:val="FF0000"/>
          <w:sz w:val="36"/>
          <w:szCs w:val="36"/>
        </w:rPr>
        <w:t>Wes</w:t>
      </w:r>
      <w:r>
        <w:rPr>
          <w:rFonts w:hint="eastAsia"/>
          <w:b/>
          <w:bCs/>
          <w:color w:val="FF0000"/>
          <w:sz w:val="36"/>
          <w:szCs w:val="36"/>
        </w:rPr>
        <w:t>所属公司、软件、试剂方法与仪器序列号：</w:t>
      </w:r>
    </w:p>
    <w:p>
      <w:pPr>
        <w:rPr>
          <w:rFonts w:hint="eastAsia"/>
          <w:lang w:val="en-US" w:eastAsia="zh-CN"/>
        </w:rPr>
      </w:pPr>
      <w:r>
        <w:rPr>
          <w:rFonts w:hint="eastAsia"/>
          <w:lang w:val="en-US" w:eastAsia="zh-CN"/>
        </w:rPr>
        <w:t xml:space="preserve"> </w:t>
      </w:r>
      <w:r>
        <w:rPr>
          <w:rFonts w:hint="eastAsia"/>
          <w:highlight w:val="yellow"/>
          <w:lang w:val="en-US" w:eastAsia="zh-CN"/>
        </w:rPr>
        <w:t xml:space="preserve"> </w:t>
      </w:r>
      <w:r>
        <w:rPr>
          <w:rFonts w:hint="eastAsia"/>
          <w:b/>
          <w:bCs/>
          <w:color w:val="auto"/>
          <w:highlight w:val="yellow"/>
          <w:lang w:val="en-US" w:eastAsia="zh-CN"/>
        </w:rPr>
        <w:t xml:space="preserve"> 公司名称：ProteinSimple</w:t>
      </w:r>
    </w:p>
    <w:p>
      <w:pPr>
        <w:jc w:val="center"/>
      </w:pPr>
      <w:r>
        <w:drawing>
          <wp:inline distT="0" distB="0" distL="0" distR="0">
            <wp:extent cx="3329940" cy="1345565"/>
            <wp:effectExtent l="0" t="0" r="381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rcRect t="7292"/>
                    <a:stretch>
                      <a:fillRect/>
                    </a:stretch>
                  </pic:blipFill>
                  <pic:spPr>
                    <a:xfrm>
                      <a:off x="0" y="0"/>
                      <a:ext cx="3329940" cy="1345565"/>
                    </a:xfrm>
                    <a:prstGeom prst="rect">
                      <a:avLst/>
                    </a:prstGeom>
                    <a:ln>
                      <a:noFill/>
                    </a:ln>
                  </pic:spPr>
                </pic:pic>
              </a:graphicData>
            </a:graphic>
          </wp:inline>
        </w:drawing>
      </w:r>
    </w:p>
    <w:p>
      <w:pPr>
        <w:ind w:firstLine="420" w:firstLineChars="200"/>
        <w:rPr>
          <w:rFonts w:hint="eastAsia" w:eastAsiaTheme="minorEastAsia"/>
          <w:b/>
          <w:bCs/>
          <w:highlight w:val="yellow"/>
          <w:lang w:eastAsia="zh-CN"/>
        </w:rPr>
      </w:pPr>
      <w:r>
        <w:rPr>
          <w:rFonts w:hint="eastAsia"/>
          <w:b/>
          <w:bCs/>
          <w:highlight w:val="yellow"/>
          <w:lang w:eastAsia="zh-CN"/>
        </w:rPr>
        <w:t>软件名称：Compass for SW</w:t>
      </w:r>
    </w:p>
    <w:p>
      <w:pPr>
        <w:pStyle w:val="7"/>
        <w:ind w:left="420" w:firstLine="0" w:firstLineChars="0"/>
      </w:pPr>
      <w: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916305</wp:posOffset>
                </wp:positionV>
                <wp:extent cx="3114675" cy="323850"/>
                <wp:effectExtent l="0" t="0" r="28575" b="19050"/>
                <wp:wrapNone/>
                <wp:docPr id="4" name="矩形 4"/>
                <wp:cNvGraphicFramePr/>
                <a:graphic xmlns:a="http://schemas.openxmlformats.org/drawingml/2006/main">
                  <a:graphicData uri="http://schemas.microsoft.com/office/word/2010/wordprocessingShape">
                    <wps:wsp>
                      <wps:cNvSpPr/>
                      <wps:spPr>
                        <a:xfrm>
                          <a:off x="0" y="0"/>
                          <a:ext cx="3114675"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pt;margin-top:72.15pt;height:25.5pt;width:245.25pt;z-index:251659264;v-text-anchor:middle;mso-width-relative:page;mso-height-relative:page;" filled="f" stroked="t" coordsize="21600,21600" o:gfxdata="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Uk/Ez2AAAAAsBAAAPAAAAAAAAAAEAIAAAACIAAABkcnMvZG93bnJldi54&#10;bWxQSwECFAAUAAAACACHTuJAcmXDTmwCAADLBAAADgAAAAAAAAABACAAAAAnAQAAZHJzL2Uyb0Rv&#10;Yy54bWxQSwUGAAAAAAYABgBZAQAABQYAAAAA&#10;">
                <v:fill on="f" focussize="0,0"/>
                <v:stroke weight="1pt" color="#FF0000 [3204]" miterlimit="8" joinstyle="miter"/>
                <v:imagedata o:title=""/>
                <o:lock v:ext="edit" aspectratio="f"/>
              </v:rect>
            </w:pict>
          </mc:Fallback>
        </mc:AlternateContent>
      </w:r>
      <w:r>
        <w:drawing>
          <wp:inline distT="0" distB="0" distL="0" distR="0">
            <wp:extent cx="5020945" cy="16129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48666" cy="1622308"/>
                    </a:xfrm>
                    <a:prstGeom prst="rect">
                      <a:avLst/>
                    </a:prstGeom>
                  </pic:spPr>
                </pic:pic>
              </a:graphicData>
            </a:graphic>
          </wp:inline>
        </w:drawing>
      </w:r>
    </w:p>
    <w:p>
      <w:pPr>
        <w:pStyle w:val="7"/>
        <w:ind w:left="420" w:firstLine="0" w:firstLineChars="0"/>
        <w:rPr>
          <w:rFonts w:hint="eastAsia"/>
          <w:b/>
          <w:bCs/>
          <w:highlight w:val="yellow"/>
          <w:lang w:eastAsia="zh-CN"/>
        </w:rPr>
      </w:pPr>
      <w:r>
        <w:rPr>
          <w:rFonts w:hint="eastAsia"/>
          <w:b/>
          <w:bCs/>
          <w:highlight w:val="yellow"/>
          <w:lang w:eastAsia="zh-CN"/>
        </w:rPr>
        <w:t>实验模板和试剂盒规格、设备型号：</w:t>
      </w:r>
    </w:p>
    <w:p>
      <w:pPr>
        <w:pStyle w:val="7"/>
        <w:ind w:left="420" w:firstLine="0" w:firstLineChars="0"/>
      </w:pPr>
      <w:r>
        <w:drawing>
          <wp:inline distT="0" distB="0" distL="0" distR="0">
            <wp:extent cx="4991100" cy="713740"/>
            <wp:effectExtent l="9525" t="9525" r="9525"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26260" cy="719352"/>
                    </a:xfrm>
                    <a:prstGeom prst="rect">
                      <a:avLst/>
                    </a:prstGeom>
                    <a:ln>
                      <a:solidFill>
                        <a:schemeClr val="accent6"/>
                      </a:solidFill>
                    </a:ln>
                  </pic:spPr>
                </pic:pic>
              </a:graphicData>
            </a:graphic>
          </wp:inline>
        </w:drawing>
      </w:r>
    </w:p>
    <w:p>
      <w:pPr>
        <w:pStyle w:val="7"/>
        <w:ind w:left="420" w:firstLine="0" w:firstLineChars="0"/>
        <w:rPr>
          <w:rFonts w:hint="default" w:eastAsiaTheme="minorEastAsia"/>
          <w:lang w:val="en-US" w:eastAsia="zh-CN"/>
        </w:rPr>
      </w:pPr>
      <w:r>
        <w:rPr>
          <w:rFonts w:hint="eastAsia"/>
          <w:lang w:val="en-US" w:eastAsia="zh-CN"/>
        </w:rPr>
        <w:t>中分子或是大分子试剂盒</w:t>
      </w:r>
    </w:p>
    <w:p>
      <w:pPr>
        <w:pStyle w:val="7"/>
        <w:ind w:left="420" w:firstLine="0" w:firstLineChars="0"/>
      </w:pPr>
      <w:r>
        <w:drawing>
          <wp:inline distT="0" distB="0" distL="0" distR="0">
            <wp:extent cx="4991100" cy="714375"/>
            <wp:effectExtent l="19050" t="19050" r="19050" b="285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991100" cy="714375"/>
                    </a:xfrm>
                    <a:prstGeom prst="rect">
                      <a:avLst/>
                    </a:prstGeom>
                    <a:noFill/>
                    <a:ln>
                      <a:solidFill>
                        <a:schemeClr val="accent1">
                          <a:alpha val="60000"/>
                        </a:schemeClr>
                      </a:solidFill>
                    </a:ln>
                  </pic:spPr>
                </pic:pic>
              </a:graphicData>
            </a:graphic>
          </wp:inline>
        </w:drawing>
      </w:r>
    </w:p>
    <w:p>
      <w:pPr>
        <w:pStyle w:val="7"/>
        <w:ind w:left="420" w:firstLine="0" w:firstLineChars="0"/>
        <w:rPr>
          <w:color w:val="FF0000"/>
        </w:rPr>
      </w:pPr>
    </w:p>
    <w:p>
      <w:pPr>
        <w:numPr>
          <w:ilvl w:val="0"/>
          <w:numId w:val="1"/>
        </w:numPr>
        <w:ind w:left="420" w:leftChars="0" w:hanging="420" w:firstLineChars="0"/>
        <w:rPr>
          <w:b/>
          <w:bCs/>
          <w:color w:val="FF0000"/>
          <w:sz w:val="36"/>
          <w:szCs w:val="36"/>
        </w:rPr>
      </w:pPr>
      <w:r>
        <w:rPr>
          <w:rFonts w:hint="eastAsia"/>
          <w:b/>
          <w:bCs/>
          <w:color w:val="FF0000"/>
          <w:sz w:val="36"/>
          <w:szCs w:val="36"/>
          <w:lang w:eastAsia="zh-CN"/>
        </w:rPr>
        <w:t>投稿回复编辑需要注意的点</w:t>
      </w:r>
      <w:r>
        <w:rPr>
          <w:rFonts w:hint="eastAsia"/>
          <w:b/>
          <w:bCs/>
          <w:color w:val="FF0000"/>
          <w:sz w:val="36"/>
          <w:szCs w:val="36"/>
        </w:rPr>
        <w:t>：</w:t>
      </w:r>
    </w:p>
    <w:p>
      <w:pPr>
        <w:pStyle w:val="7"/>
        <w:ind w:left="0" w:leftChars="0" w:firstLine="0" w:firstLineChars="0"/>
        <w:rPr>
          <w:rFonts w:hint="eastAsia"/>
        </w:rPr>
      </w:pPr>
    </w:p>
    <w:p>
      <w:pPr>
        <w:pStyle w:val="7"/>
        <w:numPr>
          <w:ilvl w:val="0"/>
          <w:numId w:val="2"/>
        </w:numPr>
        <w:ind w:firstLineChars="0"/>
        <w:rPr>
          <w:b/>
          <w:bCs/>
          <w:color w:val="auto"/>
          <w:sz w:val="28"/>
          <w:szCs w:val="28"/>
        </w:rPr>
      </w:pPr>
      <w:r>
        <w:rPr>
          <w:rFonts w:hint="eastAsia"/>
          <w:b/>
          <w:bCs/>
          <w:color w:val="auto"/>
          <w:sz w:val="28"/>
          <w:szCs w:val="28"/>
        </w:rPr>
        <w:t>Wes检测灵敏度低至</w:t>
      </w:r>
      <w:r>
        <w:rPr>
          <w:rFonts w:hint="eastAsia"/>
          <w:b/>
          <w:bCs/>
          <w:color w:val="70AD47" w:themeColor="accent6"/>
          <w:sz w:val="28"/>
          <w:szCs w:val="28"/>
          <w14:textFill>
            <w14:solidFill>
              <w14:schemeClr w14:val="accent6"/>
            </w14:solidFill>
          </w14:textFill>
        </w:rPr>
        <w:t>p</w:t>
      </w:r>
      <w:r>
        <w:rPr>
          <w:b/>
          <w:bCs/>
          <w:color w:val="70AD47" w:themeColor="accent6"/>
          <w:sz w:val="28"/>
          <w:szCs w:val="28"/>
          <w14:textFill>
            <w14:solidFill>
              <w14:schemeClr w14:val="accent6"/>
            </w14:solidFill>
          </w14:textFill>
        </w:rPr>
        <w:t>g</w:t>
      </w:r>
      <w:r>
        <w:rPr>
          <w:rFonts w:hint="eastAsia"/>
          <w:b/>
          <w:bCs/>
          <w:color w:val="auto"/>
          <w:sz w:val="28"/>
          <w:szCs w:val="28"/>
        </w:rPr>
        <w:t>级（按质量来算），代表多少</w:t>
      </w:r>
      <w:r>
        <w:rPr>
          <w:b/>
          <w:bCs/>
          <w:color w:val="auto"/>
          <w:sz w:val="28"/>
          <w:szCs w:val="28"/>
        </w:rPr>
        <w:t>pg蛋白能</w:t>
      </w:r>
      <w:r>
        <w:rPr>
          <w:rFonts w:hint="eastAsia"/>
          <w:b/>
          <w:bCs/>
          <w:color w:val="auto"/>
          <w:sz w:val="28"/>
          <w:szCs w:val="28"/>
          <w:lang w:eastAsia="zh-CN"/>
        </w:rPr>
        <w:t>被</w:t>
      </w:r>
      <w:r>
        <w:rPr>
          <w:b/>
          <w:bCs/>
          <w:color w:val="auto"/>
          <w:sz w:val="28"/>
          <w:szCs w:val="28"/>
        </w:rPr>
        <w:t>检测到</w:t>
      </w:r>
      <w:r>
        <w:rPr>
          <w:rFonts w:hint="eastAsia"/>
          <w:b/>
          <w:bCs/>
          <w:color w:val="auto"/>
          <w:sz w:val="28"/>
          <w:szCs w:val="28"/>
        </w:rPr>
        <w:t>。</w:t>
      </w:r>
    </w:p>
    <w:p>
      <w:pPr>
        <w:pStyle w:val="7"/>
        <w:numPr>
          <w:ilvl w:val="0"/>
          <w:numId w:val="2"/>
        </w:numPr>
        <w:ind w:firstLineChars="0"/>
        <w:rPr>
          <w:rFonts w:hint="eastAsia"/>
          <w:b/>
          <w:bCs/>
          <w:color w:val="auto"/>
          <w:sz w:val="28"/>
          <w:szCs w:val="28"/>
          <w:lang w:val="en-US" w:eastAsia="zh-CN"/>
        </w:rPr>
      </w:pPr>
      <w:r>
        <w:rPr>
          <w:rFonts w:hint="eastAsia"/>
          <w:b/>
          <w:bCs/>
          <w:color w:val="auto"/>
          <w:sz w:val="28"/>
          <w:szCs w:val="28"/>
        </w:rPr>
        <w:t>曝光时间选</w:t>
      </w:r>
      <w:r>
        <w:rPr>
          <w:rFonts w:hint="eastAsia"/>
          <w:b/>
          <w:bCs/>
          <w:color w:val="70AD47" w:themeColor="accent6"/>
          <w:sz w:val="28"/>
          <w:szCs w:val="28"/>
          <w14:textFill>
            <w14:solidFill>
              <w14:schemeClr w14:val="accent6"/>
            </w14:solidFill>
          </w14:textFill>
        </w:rPr>
        <w:t>HDR</w:t>
      </w:r>
      <w:r>
        <w:rPr>
          <w:rFonts w:hint="eastAsia"/>
          <w:b/>
          <w:bCs/>
          <w:color w:val="auto"/>
          <w:sz w:val="28"/>
          <w:szCs w:val="28"/>
        </w:rPr>
        <w:t>模式的话，是软件选择的最佳曝光时间，默认时间为</w:t>
      </w:r>
      <w:r>
        <w:rPr>
          <w:rFonts w:hint="eastAsia"/>
          <w:b/>
          <w:bCs/>
          <w:color w:val="70AD47" w:themeColor="accent6"/>
          <w:sz w:val="28"/>
          <w:szCs w:val="28"/>
          <w14:textFill>
            <w14:solidFill>
              <w14:schemeClr w14:val="accent6"/>
            </w14:solidFill>
          </w14:textFill>
        </w:rPr>
        <w:t>1</w:t>
      </w:r>
      <w:r>
        <w:rPr>
          <w:b/>
          <w:bCs/>
          <w:color w:val="70AD47" w:themeColor="accent6"/>
          <w:sz w:val="28"/>
          <w:szCs w:val="28"/>
          <w14:textFill>
            <w14:solidFill>
              <w14:schemeClr w14:val="accent6"/>
            </w14:solidFill>
          </w14:textFill>
        </w:rPr>
        <w:t>s</w:t>
      </w:r>
      <w:r>
        <w:rPr>
          <w:rFonts w:hint="eastAsia"/>
          <w:b/>
          <w:bCs/>
          <w:color w:val="auto"/>
          <w:sz w:val="28"/>
          <w:szCs w:val="28"/>
        </w:rPr>
        <w:t>。</w:t>
      </w:r>
    </w:p>
    <w:p>
      <w:pPr>
        <w:pStyle w:val="7"/>
        <w:numPr>
          <w:ilvl w:val="0"/>
          <w:numId w:val="2"/>
        </w:numPr>
        <w:ind w:firstLineChars="0"/>
        <w:rPr>
          <w:rFonts w:hint="eastAsia"/>
          <w:b/>
          <w:bCs/>
          <w:color w:val="auto"/>
          <w:sz w:val="28"/>
          <w:szCs w:val="28"/>
          <w:lang w:val="en-US" w:eastAsia="zh-CN"/>
        </w:rPr>
      </w:pPr>
      <w:r>
        <w:rPr>
          <w:rFonts w:hint="eastAsia"/>
          <w:b/>
          <w:bCs/>
          <w:color w:val="auto"/>
          <w:sz w:val="28"/>
          <w:szCs w:val="28"/>
          <w:lang w:val="en-US" w:eastAsia="zh-CN"/>
        </w:rPr>
        <w:t>特别注意：</w:t>
      </w:r>
    </w:p>
    <w:p>
      <w:pPr>
        <w:pStyle w:val="7"/>
        <w:numPr>
          <w:ilvl w:val="0"/>
          <w:numId w:val="0"/>
        </w:numPr>
        <w:ind w:left="840" w:leftChars="400"/>
        <w:rPr>
          <w:rFonts w:hint="default" w:eastAsiaTheme="minorEastAsia"/>
          <w:b/>
          <w:bCs/>
          <w:color w:val="FF0000"/>
          <w:sz w:val="28"/>
          <w:szCs w:val="28"/>
          <w:lang w:val="en-US" w:eastAsia="zh-CN"/>
        </w:rPr>
      </w:pPr>
      <w:r>
        <w:rPr>
          <w:rFonts w:hint="eastAsia"/>
          <w:b/>
          <w:bCs/>
          <w:color w:val="auto"/>
          <w:sz w:val="28"/>
          <w:szCs w:val="28"/>
          <w:lang w:val="en-US" w:eastAsia="zh-CN"/>
        </w:rPr>
        <w:t>很多评审专家可能还不了解Simple Western技术，误以为Wes条带太正太方像是P的。因此，在投稿的时候，建议</w:t>
      </w:r>
      <w:r>
        <w:rPr>
          <w:rFonts w:hint="eastAsia"/>
          <w:b/>
          <w:bCs/>
          <w:color w:val="FF0000"/>
          <w:sz w:val="28"/>
          <w:szCs w:val="28"/>
          <w:lang w:val="en-US" w:eastAsia="zh-CN"/>
        </w:rPr>
        <w:t>适当引用技术原文和上传原始文档PDF</w:t>
      </w:r>
      <w:r>
        <w:rPr>
          <w:rFonts w:hint="eastAsia"/>
          <w:b/>
          <w:bCs/>
          <w:color w:val="auto"/>
          <w:sz w:val="28"/>
          <w:szCs w:val="28"/>
          <w:lang w:val="en-US" w:eastAsia="zh-CN"/>
        </w:rPr>
        <w:t>。明确一点： Wes的Lane</w:t>
      </w:r>
      <w:r>
        <w:rPr>
          <w:rFonts w:hint="eastAsia"/>
          <w:b/>
          <w:bCs/>
          <w:color w:val="FF0000"/>
          <w:sz w:val="28"/>
          <w:szCs w:val="28"/>
          <w:lang w:val="en-US" w:eastAsia="zh-CN"/>
        </w:rPr>
        <w:t>条带图是拟合</w:t>
      </w:r>
      <w:r>
        <w:rPr>
          <w:rFonts w:hint="eastAsia"/>
          <w:b/>
          <w:bCs/>
          <w:color w:val="auto"/>
          <w:sz w:val="28"/>
          <w:szCs w:val="28"/>
          <w:lang w:val="en-US" w:eastAsia="zh-CN"/>
        </w:rPr>
        <w:t>出来的，看不大出差异变化，酌情</w:t>
      </w:r>
      <w:r>
        <w:rPr>
          <w:rFonts w:hint="eastAsia"/>
          <w:b/>
          <w:bCs/>
          <w:color w:val="FF0000"/>
          <w:sz w:val="28"/>
          <w:szCs w:val="28"/>
          <w:lang w:val="en-US" w:eastAsia="zh-CN"/>
        </w:rPr>
        <w:t>附上真实定量的峰形图（实测数据）或有趋势变化的柱形图</w:t>
      </w:r>
      <w:r>
        <w:rPr>
          <w:rFonts w:hint="eastAsia"/>
          <w:b/>
          <w:bCs/>
          <w:color w:val="auto"/>
          <w:sz w:val="28"/>
          <w:szCs w:val="28"/>
          <w:lang w:val="en-US" w:eastAsia="zh-CN"/>
        </w:rPr>
        <w:t>较为妥当。</w:t>
      </w:r>
    </w:p>
    <w:p>
      <w:pPr>
        <w:pStyle w:val="7"/>
        <w:numPr>
          <w:ilvl w:val="0"/>
          <w:numId w:val="0"/>
        </w:numPr>
      </w:pPr>
    </w:p>
    <w:p>
      <w:pPr>
        <w:pStyle w:val="7"/>
        <w:ind w:left="420" w:firstLine="0" w:firstLineChars="0"/>
      </w:pPr>
    </w:p>
    <w:p>
      <w:pPr>
        <w:numPr>
          <w:ilvl w:val="0"/>
          <w:numId w:val="1"/>
        </w:numPr>
        <w:ind w:left="420" w:leftChars="0" w:hanging="420" w:firstLineChars="0"/>
        <w:rPr>
          <w:b/>
          <w:bCs/>
          <w:color w:val="FF0000"/>
          <w:sz w:val="36"/>
          <w:szCs w:val="36"/>
        </w:rPr>
      </w:pPr>
      <w:r>
        <w:rPr>
          <w:rFonts w:hint="eastAsia"/>
          <w:b/>
          <w:bCs/>
          <w:color w:val="FF0000"/>
          <w:sz w:val="36"/>
          <w:szCs w:val="36"/>
          <w:lang w:eastAsia="zh-CN"/>
        </w:rPr>
        <w:t>以上方法若还是不行，直接给审稿人发几篇文章说明不是用传统WB方法即可：</w:t>
      </w:r>
    </w:p>
    <w:p>
      <w:pPr>
        <w:pStyle w:val="7"/>
        <w:numPr>
          <w:ilvl w:val="0"/>
          <w:numId w:val="0"/>
        </w:numPr>
        <w:rPr>
          <w:sz w:val="22"/>
          <w:szCs w:val="24"/>
        </w:rPr>
      </w:pPr>
    </w:p>
    <w:p>
      <w:pPr>
        <w:pStyle w:val="7"/>
        <w:numPr>
          <w:ilvl w:val="0"/>
          <w:numId w:val="3"/>
        </w:numPr>
        <w:ind w:left="425" w:leftChars="0" w:hanging="425" w:firstLineChars="0"/>
        <w:rPr>
          <w:rFonts w:hint="eastAsia"/>
          <w:sz w:val="20"/>
          <w:szCs w:val="21"/>
        </w:rPr>
      </w:pPr>
      <w:r>
        <w:rPr>
          <w:rFonts w:hint="eastAsia"/>
          <w:sz w:val="22"/>
          <w:szCs w:val="24"/>
        </w:rPr>
        <w:t>In vivo gene editing in dystrophic</w:t>
      </w:r>
      <w:r>
        <w:rPr>
          <w:rFonts w:hint="eastAsia"/>
          <w:sz w:val="22"/>
          <w:szCs w:val="24"/>
          <w:lang w:val="en-US" w:eastAsia="zh-CN"/>
        </w:rPr>
        <w:t xml:space="preserve"> </w:t>
      </w:r>
      <w:r>
        <w:rPr>
          <w:rFonts w:hint="eastAsia"/>
          <w:sz w:val="22"/>
          <w:szCs w:val="24"/>
        </w:rPr>
        <w:t>mouse muscle and muscle stem cells</w:t>
      </w:r>
      <w:r>
        <w:rPr>
          <w:rFonts w:hint="eastAsia"/>
          <w:sz w:val="20"/>
          <w:szCs w:val="21"/>
          <w:lang w:val="en-US" w:eastAsia="zh-CN"/>
        </w:rPr>
        <w:t xml:space="preserve"> </w:t>
      </w:r>
      <w:r>
        <w:rPr>
          <w:rFonts w:ascii="微软雅黑" w:hAnsi="微软雅黑" w:eastAsia="微软雅黑" w:cs="微软雅黑"/>
          <w:i w:val="0"/>
          <w:iCs w:val="0"/>
          <w:caps w:val="0"/>
          <w:color w:val="999999"/>
          <w:spacing w:val="0"/>
          <w:sz w:val="20"/>
          <w:szCs w:val="20"/>
        </w:rPr>
        <w:t>影响因子：</w:t>
      </w:r>
      <w:r>
        <w:rPr>
          <w:rFonts w:hint="eastAsia" w:ascii="微软雅黑" w:hAnsi="微软雅黑" w:eastAsia="微软雅黑" w:cs="微软雅黑"/>
          <w:i w:val="0"/>
          <w:iCs w:val="0"/>
          <w:caps w:val="0"/>
          <w:color w:val="999999"/>
          <w:spacing w:val="0"/>
          <w:sz w:val="20"/>
          <w:szCs w:val="20"/>
        </w:rPr>
        <w:t> </w:t>
      </w:r>
      <w:r>
        <w:rPr>
          <w:rFonts w:hint="eastAsia" w:ascii="微软雅黑" w:hAnsi="微软雅黑" w:eastAsia="微软雅黑" w:cs="微软雅黑"/>
          <w:i w:val="0"/>
          <w:iCs w:val="0"/>
          <w:caps w:val="0"/>
          <w:color w:val="00BA50"/>
          <w:spacing w:val="0"/>
          <w:sz w:val="20"/>
          <w:szCs w:val="20"/>
        </w:rPr>
        <w:t>41.845</w:t>
      </w:r>
      <w:r>
        <w:rPr>
          <w:rFonts w:hint="eastAsia" w:ascii="微软雅黑" w:hAnsi="微软雅黑" w:eastAsia="微软雅黑" w:cs="微软雅黑"/>
          <w:i w:val="0"/>
          <w:iCs w:val="0"/>
          <w:caps w:val="0"/>
          <w:color w:val="999999"/>
          <w:spacing w:val="0"/>
          <w:sz w:val="20"/>
          <w:szCs w:val="20"/>
        </w:rPr>
        <w:t>PMID：</w:t>
      </w:r>
      <w:r>
        <w:rPr>
          <w:rFonts w:hint="eastAsia" w:ascii="微软雅黑" w:hAnsi="微软雅黑" w:eastAsia="微软雅黑" w:cs="微软雅黑"/>
          <w:i w:val="0"/>
          <w:iCs w:val="0"/>
          <w:caps w:val="0"/>
          <w:spacing w:val="0"/>
          <w:sz w:val="20"/>
          <w:szCs w:val="20"/>
          <w:u w:val="none"/>
        </w:rPr>
        <w:fldChar w:fldCharType="begin"/>
      </w:r>
      <w:r>
        <w:rPr>
          <w:rFonts w:hint="eastAsia" w:ascii="微软雅黑" w:hAnsi="微软雅黑" w:eastAsia="微软雅黑" w:cs="微软雅黑"/>
          <w:i w:val="0"/>
          <w:iCs w:val="0"/>
          <w:caps w:val="0"/>
          <w:spacing w:val="0"/>
          <w:sz w:val="20"/>
          <w:szCs w:val="20"/>
          <w:u w:val="none"/>
        </w:rPr>
        <w:instrText xml:space="preserve"> HYPERLINK "https://www.ncbi.nlm.nih.gov/pubmed/26721686" \t "https://www.geenmedical.com/_blank" </w:instrText>
      </w:r>
      <w:r>
        <w:rPr>
          <w:rFonts w:hint="eastAsia" w:ascii="微软雅黑" w:hAnsi="微软雅黑" w:eastAsia="微软雅黑" w:cs="微软雅黑"/>
          <w:i w:val="0"/>
          <w:iCs w:val="0"/>
          <w:caps w:val="0"/>
          <w:spacing w:val="0"/>
          <w:sz w:val="20"/>
          <w:szCs w:val="20"/>
          <w:u w:val="none"/>
        </w:rPr>
        <w:fldChar w:fldCharType="separate"/>
      </w:r>
      <w:r>
        <w:rPr>
          <w:rStyle w:val="6"/>
          <w:rFonts w:hint="eastAsia" w:ascii="微软雅黑" w:hAnsi="微软雅黑" w:eastAsia="微软雅黑" w:cs="微软雅黑"/>
          <w:i w:val="0"/>
          <w:iCs w:val="0"/>
          <w:caps w:val="0"/>
          <w:color w:val="00BA50"/>
          <w:spacing w:val="0"/>
          <w:sz w:val="20"/>
          <w:szCs w:val="20"/>
          <w:u w:val="single"/>
        </w:rPr>
        <w:t>26721686</w:t>
      </w:r>
      <w:r>
        <w:rPr>
          <w:rFonts w:hint="eastAsia" w:ascii="微软雅黑" w:hAnsi="微软雅黑" w:eastAsia="微软雅黑" w:cs="微软雅黑"/>
          <w:i w:val="0"/>
          <w:iCs w:val="0"/>
          <w:caps w:val="0"/>
          <w:spacing w:val="0"/>
          <w:sz w:val="20"/>
          <w:szCs w:val="20"/>
          <w:u w:val="none"/>
        </w:rPr>
        <w:fldChar w:fldCharType="end"/>
      </w:r>
      <w:r>
        <w:rPr>
          <w:rFonts w:hint="eastAsia" w:ascii="微软雅黑" w:hAnsi="微软雅黑" w:eastAsia="微软雅黑" w:cs="微软雅黑"/>
          <w:i w:val="0"/>
          <w:iCs w:val="0"/>
          <w:caps w:val="0"/>
          <w:spacing w:val="0"/>
          <w:sz w:val="20"/>
          <w:szCs w:val="20"/>
          <w:u w:val="none"/>
          <w:lang w:val="en-US" w:eastAsia="zh-CN"/>
        </w:rPr>
        <w:t xml:space="preserve"> </w:t>
      </w:r>
      <w:r>
        <w:rPr>
          <w:rFonts w:hint="eastAsia" w:ascii="微软雅黑" w:hAnsi="微软雅黑" w:eastAsia="微软雅黑" w:cs="微软雅黑"/>
          <w:i w:val="0"/>
          <w:iCs w:val="0"/>
          <w:caps w:val="0"/>
          <w:color w:val="999999"/>
          <w:spacing w:val="0"/>
          <w:sz w:val="20"/>
          <w:szCs w:val="20"/>
        </w:rPr>
        <w:t>期刊年卷：</w:t>
      </w:r>
      <w:r>
        <w:rPr>
          <w:rFonts w:hint="eastAsia" w:ascii="微软雅黑" w:hAnsi="微软雅黑" w:eastAsia="微软雅黑" w:cs="微软雅黑"/>
          <w:i w:val="0"/>
          <w:iCs w:val="0"/>
          <w:caps w:val="0"/>
          <w:color w:val="00BA50"/>
          <w:spacing w:val="0"/>
          <w:sz w:val="20"/>
          <w:szCs w:val="20"/>
          <w:u w:val="single"/>
        </w:rPr>
        <w:t>Science</w:t>
      </w:r>
      <w:r>
        <w:rPr>
          <w:rFonts w:hint="eastAsia" w:ascii="微软雅黑" w:hAnsi="微软雅黑" w:eastAsia="微软雅黑" w:cs="微软雅黑"/>
          <w:i w:val="0"/>
          <w:iCs w:val="0"/>
          <w:caps w:val="0"/>
          <w:color w:val="00BA50"/>
          <w:spacing w:val="0"/>
          <w:sz w:val="20"/>
          <w:szCs w:val="20"/>
        </w:rPr>
        <w:t> 2016 Jan 22;351(6271)</w:t>
      </w:r>
    </w:p>
    <w:p>
      <w:pPr>
        <w:pStyle w:val="7"/>
        <w:numPr>
          <w:ilvl w:val="0"/>
          <w:numId w:val="3"/>
        </w:numPr>
        <w:ind w:left="425" w:leftChars="0" w:hanging="425" w:firstLineChars="0"/>
        <w:rPr>
          <w:rFonts w:hint="eastAsia"/>
          <w:sz w:val="20"/>
          <w:szCs w:val="21"/>
        </w:rPr>
      </w:pPr>
      <w:r>
        <w:rPr>
          <w:rFonts w:hint="eastAsia"/>
          <w:sz w:val="22"/>
          <w:szCs w:val="24"/>
        </w:rPr>
        <w:t>Broad histone H3K4me3 domains in mouse oocytes modulate maternal-to-zygotic transition</w:t>
      </w:r>
      <w:r>
        <w:rPr>
          <w:rFonts w:hint="eastAsia"/>
          <w:sz w:val="22"/>
          <w:szCs w:val="24"/>
          <w:lang w:val="en-US" w:eastAsia="zh-CN"/>
        </w:rPr>
        <w:t xml:space="preserve">  </w:t>
      </w:r>
      <w:r>
        <w:rPr>
          <w:rFonts w:ascii="微软雅黑" w:hAnsi="微软雅黑" w:eastAsia="微软雅黑" w:cs="微软雅黑"/>
          <w:i w:val="0"/>
          <w:iCs w:val="0"/>
          <w:caps w:val="0"/>
          <w:color w:val="999999"/>
          <w:spacing w:val="0"/>
          <w:sz w:val="20"/>
          <w:szCs w:val="20"/>
        </w:rPr>
        <w:t>期刊年卷：</w:t>
      </w:r>
      <w:r>
        <w:rPr>
          <w:rFonts w:hint="eastAsia" w:ascii="微软雅黑" w:hAnsi="微软雅黑" w:eastAsia="微软雅黑" w:cs="微软雅黑"/>
          <w:i w:val="0"/>
          <w:iCs w:val="0"/>
          <w:caps w:val="0"/>
          <w:color w:val="00BA50"/>
          <w:spacing w:val="0"/>
          <w:sz w:val="20"/>
          <w:szCs w:val="20"/>
          <w:u w:val="single"/>
        </w:rPr>
        <w:t>Nature</w:t>
      </w:r>
      <w:r>
        <w:rPr>
          <w:rFonts w:hint="eastAsia" w:ascii="微软雅黑" w:hAnsi="微软雅黑" w:eastAsia="微软雅黑" w:cs="微软雅黑"/>
          <w:i w:val="0"/>
          <w:iCs w:val="0"/>
          <w:caps w:val="0"/>
          <w:color w:val="00BA50"/>
          <w:spacing w:val="0"/>
          <w:sz w:val="20"/>
          <w:szCs w:val="20"/>
        </w:rPr>
        <w:t> 2016 09 22;537(7621) </w:t>
      </w:r>
      <w:r>
        <w:rPr>
          <w:rFonts w:hint="eastAsia" w:ascii="微软雅黑" w:hAnsi="微软雅黑" w:eastAsia="微软雅黑" w:cs="微软雅黑"/>
          <w:i w:val="0"/>
          <w:iCs w:val="0"/>
          <w:caps w:val="0"/>
          <w:color w:val="00BA50"/>
          <w:spacing w:val="0"/>
          <w:sz w:val="20"/>
          <w:szCs w:val="20"/>
          <w:lang w:val="en-US" w:eastAsia="zh-CN"/>
        </w:rPr>
        <w:t xml:space="preserve"> </w:t>
      </w:r>
      <w:r>
        <w:rPr>
          <w:rFonts w:ascii="微软雅黑" w:hAnsi="微软雅黑" w:eastAsia="微软雅黑" w:cs="微软雅黑"/>
          <w:i w:val="0"/>
          <w:iCs w:val="0"/>
          <w:caps w:val="0"/>
          <w:color w:val="999999"/>
          <w:spacing w:val="0"/>
          <w:sz w:val="20"/>
          <w:szCs w:val="20"/>
        </w:rPr>
        <w:t>影响因子：</w:t>
      </w:r>
      <w:r>
        <w:rPr>
          <w:rFonts w:hint="eastAsia" w:ascii="微软雅黑" w:hAnsi="微软雅黑" w:eastAsia="微软雅黑" w:cs="微软雅黑"/>
          <w:i w:val="0"/>
          <w:iCs w:val="0"/>
          <w:caps w:val="0"/>
          <w:color w:val="999999"/>
          <w:spacing w:val="0"/>
          <w:sz w:val="20"/>
          <w:szCs w:val="20"/>
        </w:rPr>
        <w:t> </w:t>
      </w:r>
      <w:r>
        <w:rPr>
          <w:rFonts w:hint="eastAsia" w:ascii="微软雅黑" w:hAnsi="微软雅黑" w:eastAsia="微软雅黑" w:cs="微软雅黑"/>
          <w:i w:val="0"/>
          <w:iCs w:val="0"/>
          <w:caps w:val="0"/>
          <w:color w:val="00BA50"/>
          <w:spacing w:val="0"/>
          <w:sz w:val="20"/>
          <w:szCs w:val="20"/>
        </w:rPr>
        <w:t>42.778</w:t>
      </w:r>
      <w:r>
        <w:rPr>
          <w:rFonts w:hint="eastAsia" w:ascii="微软雅黑" w:hAnsi="微软雅黑" w:eastAsia="微软雅黑" w:cs="微软雅黑"/>
          <w:i w:val="0"/>
          <w:iCs w:val="0"/>
          <w:caps w:val="0"/>
          <w:color w:val="999999"/>
          <w:spacing w:val="0"/>
          <w:sz w:val="20"/>
          <w:szCs w:val="20"/>
        </w:rPr>
        <w:t>PMID：</w:t>
      </w:r>
      <w:r>
        <w:rPr>
          <w:rFonts w:hint="eastAsia" w:ascii="微软雅黑" w:hAnsi="微软雅黑" w:eastAsia="微软雅黑" w:cs="微软雅黑"/>
          <w:i w:val="0"/>
          <w:iCs w:val="0"/>
          <w:caps w:val="0"/>
          <w:spacing w:val="0"/>
          <w:sz w:val="20"/>
          <w:szCs w:val="20"/>
          <w:u w:val="none"/>
        </w:rPr>
        <w:fldChar w:fldCharType="begin"/>
      </w:r>
      <w:r>
        <w:rPr>
          <w:rFonts w:hint="eastAsia" w:ascii="微软雅黑" w:hAnsi="微软雅黑" w:eastAsia="微软雅黑" w:cs="微软雅黑"/>
          <w:i w:val="0"/>
          <w:iCs w:val="0"/>
          <w:caps w:val="0"/>
          <w:spacing w:val="0"/>
          <w:sz w:val="20"/>
          <w:szCs w:val="20"/>
          <w:u w:val="none"/>
        </w:rPr>
        <w:instrText xml:space="preserve"> HYPERLINK "https://www.ncbi.nlm.nih.gov/pubmed/27626377" \t "https://www.geenmedical.com/_blank" </w:instrText>
      </w:r>
      <w:r>
        <w:rPr>
          <w:rFonts w:hint="eastAsia" w:ascii="微软雅黑" w:hAnsi="微软雅黑" w:eastAsia="微软雅黑" w:cs="微软雅黑"/>
          <w:i w:val="0"/>
          <w:iCs w:val="0"/>
          <w:caps w:val="0"/>
          <w:spacing w:val="0"/>
          <w:sz w:val="20"/>
          <w:szCs w:val="20"/>
          <w:u w:val="none"/>
        </w:rPr>
        <w:fldChar w:fldCharType="separate"/>
      </w:r>
      <w:r>
        <w:rPr>
          <w:rStyle w:val="6"/>
          <w:rFonts w:hint="eastAsia" w:ascii="微软雅黑" w:hAnsi="微软雅黑" w:eastAsia="微软雅黑" w:cs="微软雅黑"/>
          <w:i w:val="0"/>
          <w:iCs w:val="0"/>
          <w:caps w:val="0"/>
          <w:color w:val="00BA50"/>
          <w:spacing w:val="0"/>
          <w:sz w:val="20"/>
          <w:szCs w:val="20"/>
          <w:u w:val="single"/>
        </w:rPr>
        <w:t>27626377</w:t>
      </w:r>
      <w:r>
        <w:rPr>
          <w:rFonts w:hint="eastAsia" w:ascii="微软雅黑" w:hAnsi="微软雅黑" w:eastAsia="微软雅黑" w:cs="微软雅黑"/>
          <w:i w:val="0"/>
          <w:iCs w:val="0"/>
          <w:caps w:val="0"/>
          <w:spacing w:val="0"/>
          <w:sz w:val="20"/>
          <w:szCs w:val="20"/>
          <w:u w:val="none"/>
        </w:rPr>
        <w:fldChar w:fldCharType="end"/>
      </w:r>
    </w:p>
    <w:p>
      <w:pPr>
        <w:pStyle w:val="7"/>
        <w:numPr>
          <w:ilvl w:val="0"/>
          <w:numId w:val="3"/>
        </w:numPr>
        <w:ind w:left="425" w:leftChars="0" w:hanging="425" w:firstLineChars="0"/>
        <w:rPr>
          <w:rFonts w:hint="eastAsia"/>
          <w:sz w:val="20"/>
          <w:szCs w:val="21"/>
        </w:rPr>
      </w:pPr>
      <w:r>
        <w:rPr>
          <w:rFonts w:hint="eastAsia"/>
          <w:sz w:val="22"/>
          <w:szCs w:val="24"/>
        </w:rPr>
        <w:t>Somatic inflammatory gene mutations in human ulcerative colitis epithelium</w:t>
      </w:r>
      <w:r>
        <w:rPr>
          <w:rFonts w:hint="eastAsia"/>
          <w:sz w:val="22"/>
          <w:szCs w:val="24"/>
          <w:lang w:val="en-US" w:eastAsia="zh-CN"/>
        </w:rPr>
        <w:t xml:space="preserve"> </w:t>
      </w:r>
      <w:r>
        <w:rPr>
          <w:rFonts w:ascii="微软雅黑" w:hAnsi="微软雅黑" w:eastAsia="微软雅黑" w:cs="微软雅黑"/>
          <w:i w:val="0"/>
          <w:iCs w:val="0"/>
          <w:caps w:val="0"/>
          <w:color w:val="999999"/>
          <w:spacing w:val="0"/>
          <w:sz w:val="20"/>
          <w:szCs w:val="20"/>
        </w:rPr>
        <w:t>影响因子：</w:t>
      </w:r>
      <w:r>
        <w:rPr>
          <w:rFonts w:hint="eastAsia" w:ascii="微软雅黑" w:hAnsi="微软雅黑" w:eastAsia="微软雅黑" w:cs="微软雅黑"/>
          <w:i w:val="0"/>
          <w:iCs w:val="0"/>
          <w:caps w:val="0"/>
          <w:color w:val="999999"/>
          <w:spacing w:val="0"/>
          <w:sz w:val="20"/>
          <w:szCs w:val="20"/>
        </w:rPr>
        <w:t> </w:t>
      </w:r>
      <w:r>
        <w:rPr>
          <w:rFonts w:hint="eastAsia" w:ascii="微软雅黑" w:hAnsi="微软雅黑" w:eastAsia="微软雅黑" w:cs="微软雅黑"/>
          <w:i w:val="0"/>
          <w:iCs w:val="0"/>
          <w:caps w:val="0"/>
          <w:color w:val="00BA50"/>
          <w:spacing w:val="0"/>
          <w:sz w:val="20"/>
          <w:szCs w:val="20"/>
        </w:rPr>
        <w:t>42.778</w:t>
      </w:r>
      <w:r>
        <w:rPr>
          <w:rFonts w:hint="eastAsia" w:ascii="微软雅黑" w:hAnsi="微软雅黑" w:eastAsia="微软雅黑" w:cs="微软雅黑"/>
          <w:i w:val="0"/>
          <w:iCs w:val="0"/>
          <w:caps w:val="0"/>
          <w:color w:val="00BA50"/>
          <w:spacing w:val="0"/>
          <w:sz w:val="20"/>
          <w:szCs w:val="20"/>
          <w:lang w:val="en-US" w:eastAsia="zh-CN"/>
        </w:rPr>
        <w:t xml:space="preserve">  </w:t>
      </w:r>
      <w:r>
        <w:rPr>
          <w:rFonts w:hint="eastAsia" w:ascii="微软雅黑" w:hAnsi="微软雅黑" w:eastAsia="微软雅黑" w:cs="微软雅黑"/>
          <w:i w:val="0"/>
          <w:iCs w:val="0"/>
          <w:caps w:val="0"/>
          <w:color w:val="999999"/>
          <w:spacing w:val="0"/>
          <w:sz w:val="20"/>
          <w:szCs w:val="20"/>
        </w:rPr>
        <w:t>PMID：</w:t>
      </w:r>
      <w:r>
        <w:rPr>
          <w:rFonts w:hint="eastAsia" w:ascii="微软雅黑" w:hAnsi="微软雅黑" w:eastAsia="微软雅黑" w:cs="微软雅黑"/>
          <w:i w:val="0"/>
          <w:iCs w:val="0"/>
          <w:caps w:val="0"/>
          <w:spacing w:val="0"/>
          <w:sz w:val="20"/>
          <w:szCs w:val="20"/>
          <w:u w:val="none"/>
        </w:rPr>
        <w:fldChar w:fldCharType="begin"/>
      </w:r>
      <w:r>
        <w:rPr>
          <w:rFonts w:hint="eastAsia" w:ascii="微软雅黑" w:hAnsi="微软雅黑" w:eastAsia="微软雅黑" w:cs="微软雅黑"/>
          <w:i w:val="0"/>
          <w:iCs w:val="0"/>
          <w:caps w:val="0"/>
          <w:spacing w:val="0"/>
          <w:sz w:val="20"/>
          <w:szCs w:val="20"/>
          <w:u w:val="none"/>
        </w:rPr>
        <w:instrText xml:space="preserve"> HYPERLINK "https://www.ncbi.nlm.nih.gov/pubmed/31853059" \t "https://www.geenmedical.com/_blank" </w:instrText>
      </w:r>
      <w:r>
        <w:rPr>
          <w:rFonts w:hint="eastAsia" w:ascii="微软雅黑" w:hAnsi="微软雅黑" w:eastAsia="微软雅黑" w:cs="微软雅黑"/>
          <w:i w:val="0"/>
          <w:iCs w:val="0"/>
          <w:caps w:val="0"/>
          <w:spacing w:val="0"/>
          <w:sz w:val="20"/>
          <w:szCs w:val="20"/>
          <w:u w:val="none"/>
        </w:rPr>
        <w:fldChar w:fldCharType="separate"/>
      </w:r>
      <w:r>
        <w:rPr>
          <w:rStyle w:val="6"/>
          <w:rFonts w:hint="eastAsia" w:ascii="微软雅黑" w:hAnsi="微软雅黑" w:eastAsia="微软雅黑" w:cs="微软雅黑"/>
          <w:i w:val="0"/>
          <w:iCs w:val="0"/>
          <w:caps w:val="0"/>
          <w:color w:val="00BA50"/>
          <w:spacing w:val="0"/>
          <w:sz w:val="20"/>
          <w:szCs w:val="20"/>
          <w:u w:val="single"/>
        </w:rPr>
        <w:t>31853059</w:t>
      </w:r>
      <w:r>
        <w:rPr>
          <w:rFonts w:hint="eastAsia" w:ascii="微软雅黑" w:hAnsi="微软雅黑" w:eastAsia="微软雅黑" w:cs="微软雅黑"/>
          <w:i w:val="0"/>
          <w:iCs w:val="0"/>
          <w:caps w:val="0"/>
          <w:spacing w:val="0"/>
          <w:sz w:val="20"/>
          <w:szCs w:val="20"/>
          <w:u w:val="none"/>
        </w:rPr>
        <w:fldChar w:fldCharType="end"/>
      </w:r>
    </w:p>
    <w:p>
      <w:pPr>
        <w:pStyle w:val="7"/>
        <w:numPr>
          <w:ilvl w:val="0"/>
          <w:numId w:val="3"/>
        </w:numPr>
        <w:ind w:left="425" w:leftChars="0" w:hanging="425" w:firstLineChars="0"/>
        <w:rPr>
          <w:rFonts w:hint="eastAsia"/>
          <w:sz w:val="20"/>
          <w:szCs w:val="21"/>
        </w:rPr>
      </w:pPr>
      <w:r>
        <w:rPr>
          <w:rFonts w:hint="eastAsia"/>
          <w:sz w:val="22"/>
          <w:szCs w:val="24"/>
        </w:rPr>
        <w:t>Nitrosative stress drives heart failure with preserved ejection fraction</w:t>
      </w:r>
      <w:r>
        <w:rPr>
          <w:rFonts w:hint="eastAsia"/>
          <w:sz w:val="22"/>
          <w:szCs w:val="24"/>
          <w:lang w:val="en-US" w:eastAsia="zh-CN"/>
        </w:rPr>
        <w:t xml:space="preserve"> </w:t>
      </w:r>
      <w:r>
        <w:rPr>
          <w:rFonts w:ascii="微软雅黑" w:hAnsi="微软雅黑" w:eastAsia="微软雅黑" w:cs="微软雅黑"/>
          <w:i w:val="0"/>
          <w:iCs w:val="0"/>
          <w:caps w:val="0"/>
          <w:color w:val="999999"/>
          <w:spacing w:val="0"/>
          <w:sz w:val="20"/>
          <w:szCs w:val="20"/>
        </w:rPr>
        <w:t>影响因子：</w:t>
      </w:r>
      <w:r>
        <w:rPr>
          <w:rFonts w:hint="eastAsia" w:ascii="微软雅黑" w:hAnsi="微软雅黑" w:eastAsia="微软雅黑" w:cs="微软雅黑"/>
          <w:i w:val="0"/>
          <w:iCs w:val="0"/>
          <w:caps w:val="0"/>
          <w:color w:val="999999"/>
          <w:spacing w:val="0"/>
          <w:sz w:val="20"/>
          <w:szCs w:val="20"/>
        </w:rPr>
        <w:t> </w:t>
      </w:r>
      <w:r>
        <w:rPr>
          <w:rFonts w:hint="eastAsia" w:ascii="微软雅黑" w:hAnsi="微软雅黑" w:eastAsia="微软雅黑" w:cs="微软雅黑"/>
          <w:i w:val="0"/>
          <w:iCs w:val="0"/>
          <w:caps w:val="0"/>
          <w:color w:val="00BA50"/>
          <w:spacing w:val="0"/>
          <w:sz w:val="20"/>
          <w:szCs w:val="20"/>
        </w:rPr>
        <w:t>42.778</w:t>
      </w:r>
      <w:r>
        <w:rPr>
          <w:rFonts w:hint="eastAsia" w:ascii="微软雅黑" w:hAnsi="微软雅黑" w:eastAsia="微软雅黑" w:cs="微软雅黑"/>
          <w:i w:val="0"/>
          <w:iCs w:val="0"/>
          <w:caps w:val="0"/>
          <w:color w:val="00BA50"/>
          <w:spacing w:val="0"/>
          <w:sz w:val="20"/>
          <w:szCs w:val="20"/>
          <w:lang w:val="en-US" w:eastAsia="zh-CN"/>
        </w:rPr>
        <w:t xml:space="preserve"> </w:t>
      </w:r>
      <w:r>
        <w:rPr>
          <w:rFonts w:hint="eastAsia" w:ascii="微软雅黑" w:hAnsi="微软雅黑" w:eastAsia="微软雅黑" w:cs="微软雅黑"/>
          <w:i w:val="0"/>
          <w:iCs w:val="0"/>
          <w:caps w:val="0"/>
          <w:color w:val="999999"/>
          <w:spacing w:val="0"/>
          <w:sz w:val="20"/>
          <w:szCs w:val="20"/>
        </w:rPr>
        <w:t>PMID：</w:t>
      </w:r>
      <w:r>
        <w:rPr>
          <w:rFonts w:hint="eastAsia" w:ascii="微软雅黑" w:hAnsi="微软雅黑" w:eastAsia="微软雅黑" w:cs="微软雅黑"/>
          <w:i w:val="0"/>
          <w:iCs w:val="0"/>
          <w:caps w:val="0"/>
          <w:spacing w:val="0"/>
          <w:sz w:val="20"/>
          <w:szCs w:val="20"/>
          <w:u w:val="none"/>
        </w:rPr>
        <w:fldChar w:fldCharType="begin"/>
      </w:r>
      <w:r>
        <w:rPr>
          <w:rFonts w:hint="eastAsia" w:ascii="微软雅黑" w:hAnsi="微软雅黑" w:eastAsia="微软雅黑" w:cs="微软雅黑"/>
          <w:i w:val="0"/>
          <w:iCs w:val="0"/>
          <w:caps w:val="0"/>
          <w:spacing w:val="0"/>
          <w:sz w:val="20"/>
          <w:szCs w:val="20"/>
          <w:u w:val="none"/>
        </w:rPr>
        <w:instrText xml:space="preserve"> HYPERLINK "https://www.ncbi.nlm.nih.gov/pubmed/30971818" \t "https://www.geenmedical.com/_blank" </w:instrText>
      </w:r>
      <w:r>
        <w:rPr>
          <w:rFonts w:hint="eastAsia" w:ascii="微软雅黑" w:hAnsi="微软雅黑" w:eastAsia="微软雅黑" w:cs="微软雅黑"/>
          <w:i w:val="0"/>
          <w:iCs w:val="0"/>
          <w:caps w:val="0"/>
          <w:spacing w:val="0"/>
          <w:sz w:val="20"/>
          <w:szCs w:val="20"/>
          <w:u w:val="none"/>
        </w:rPr>
        <w:fldChar w:fldCharType="separate"/>
      </w:r>
      <w:r>
        <w:rPr>
          <w:rStyle w:val="6"/>
          <w:rFonts w:hint="eastAsia" w:ascii="微软雅黑" w:hAnsi="微软雅黑" w:eastAsia="微软雅黑" w:cs="微软雅黑"/>
          <w:i w:val="0"/>
          <w:iCs w:val="0"/>
          <w:caps w:val="0"/>
          <w:color w:val="00BA50"/>
          <w:spacing w:val="0"/>
          <w:sz w:val="20"/>
          <w:szCs w:val="20"/>
          <w:u w:val="single"/>
        </w:rPr>
        <w:t>30971818</w:t>
      </w:r>
      <w:r>
        <w:rPr>
          <w:rFonts w:hint="eastAsia" w:ascii="微软雅黑" w:hAnsi="微软雅黑" w:eastAsia="微软雅黑" w:cs="微软雅黑"/>
          <w:i w:val="0"/>
          <w:iCs w:val="0"/>
          <w:caps w:val="0"/>
          <w:spacing w:val="0"/>
          <w:sz w:val="20"/>
          <w:szCs w:val="20"/>
          <w:u w:val="none"/>
        </w:rPr>
        <w:fldChar w:fldCharType="end"/>
      </w:r>
    </w:p>
    <w:p>
      <w:pPr>
        <w:pStyle w:val="7"/>
        <w:numPr>
          <w:ilvl w:val="0"/>
          <w:numId w:val="3"/>
        </w:numPr>
        <w:ind w:left="425" w:leftChars="0" w:hanging="425" w:firstLineChars="0"/>
        <w:rPr>
          <w:rFonts w:hint="eastAsia"/>
          <w:sz w:val="20"/>
          <w:szCs w:val="21"/>
        </w:rPr>
      </w:pPr>
      <w:r>
        <w:rPr>
          <w:rFonts w:hint="eastAsia"/>
          <w:sz w:val="22"/>
          <w:szCs w:val="24"/>
        </w:rPr>
        <w:t>Melatonin alleviates cognition impairment by antagonizing brain insulin resistance in aged rats fed a high‐fat diet</w:t>
      </w:r>
      <w:r>
        <w:rPr>
          <w:rFonts w:hint="eastAsia"/>
          <w:sz w:val="22"/>
          <w:szCs w:val="24"/>
          <w:lang w:val="en-US" w:eastAsia="zh-CN"/>
        </w:rPr>
        <w:t xml:space="preserve"> </w:t>
      </w:r>
      <w:r>
        <w:rPr>
          <w:rFonts w:ascii="微软雅黑" w:hAnsi="微软雅黑" w:eastAsia="微软雅黑" w:cs="微软雅黑"/>
          <w:i w:val="0"/>
          <w:iCs w:val="0"/>
          <w:caps w:val="0"/>
          <w:color w:val="999999"/>
          <w:spacing w:val="0"/>
          <w:sz w:val="20"/>
          <w:szCs w:val="20"/>
        </w:rPr>
        <w:t>影响因子：</w:t>
      </w:r>
      <w:r>
        <w:rPr>
          <w:rFonts w:hint="eastAsia" w:ascii="微软雅黑" w:hAnsi="微软雅黑" w:eastAsia="微软雅黑" w:cs="微软雅黑"/>
          <w:i w:val="0"/>
          <w:iCs w:val="0"/>
          <w:caps w:val="0"/>
          <w:color w:val="999999"/>
          <w:spacing w:val="0"/>
          <w:sz w:val="20"/>
          <w:szCs w:val="20"/>
        </w:rPr>
        <w:t> </w:t>
      </w:r>
      <w:r>
        <w:rPr>
          <w:rFonts w:hint="eastAsia" w:ascii="微软雅黑" w:hAnsi="微软雅黑" w:eastAsia="微软雅黑" w:cs="微软雅黑"/>
          <w:i w:val="0"/>
          <w:iCs w:val="0"/>
          <w:caps w:val="0"/>
          <w:color w:val="00BA50"/>
          <w:spacing w:val="0"/>
          <w:sz w:val="20"/>
          <w:szCs w:val="20"/>
        </w:rPr>
        <w:t>14.528</w:t>
      </w:r>
      <w:r>
        <w:rPr>
          <w:rFonts w:hint="eastAsia" w:ascii="微软雅黑" w:hAnsi="微软雅黑" w:eastAsia="微软雅黑" w:cs="微软雅黑"/>
          <w:i w:val="0"/>
          <w:iCs w:val="0"/>
          <w:caps w:val="0"/>
          <w:color w:val="999999"/>
          <w:spacing w:val="0"/>
          <w:sz w:val="20"/>
          <w:szCs w:val="20"/>
        </w:rPr>
        <w:t>PMID：</w:t>
      </w:r>
      <w:r>
        <w:rPr>
          <w:rFonts w:hint="eastAsia" w:ascii="微软雅黑" w:hAnsi="微软雅黑" w:eastAsia="微软雅黑" w:cs="微软雅黑"/>
          <w:i w:val="0"/>
          <w:iCs w:val="0"/>
          <w:caps w:val="0"/>
          <w:spacing w:val="0"/>
          <w:sz w:val="20"/>
          <w:szCs w:val="20"/>
          <w:u w:val="none"/>
        </w:rPr>
        <w:fldChar w:fldCharType="begin"/>
      </w:r>
      <w:r>
        <w:rPr>
          <w:rFonts w:hint="eastAsia" w:ascii="微软雅黑" w:hAnsi="微软雅黑" w:eastAsia="微软雅黑" w:cs="微软雅黑"/>
          <w:i w:val="0"/>
          <w:iCs w:val="0"/>
          <w:caps w:val="0"/>
          <w:spacing w:val="0"/>
          <w:sz w:val="20"/>
          <w:szCs w:val="20"/>
          <w:u w:val="none"/>
        </w:rPr>
        <w:instrText xml:space="preserve"> HYPERLINK "https://www.ncbi.nlm.nih.gov/pubmed/31050371" \t "https://www.geenmedical.com/_blank" </w:instrText>
      </w:r>
      <w:r>
        <w:rPr>
          <w:rFonts w:hint="eastAsia" w:ascii="微软雅黑" w:hAnsi="微软雅黑" w:eastAsia="微软雅黑" w:cs="微软雅黑"/>
          <w:i w:val="0"/>
          <w:iCs w:val="0"/>
          <w:caps w:val="0"/>
          <w:spacing w:val="0"/>
          <w:sz w:val="20"/>
          <w:szCs w:val="20"/>
          <w:u w:val="none"/>
        </w:rPr>
        <w:fldChar w:fldCharType="separate"/>
      </w:r>
      <w:r>
        <w:rPr>
          <w:rStyle w:val="6"/>
          <w:rFonts w:hint="eastAsia" w:ascii="微软雅黑" w:hAnsi="微软雅黑" w:eastAsia="微软雅黑" w:cs="微软雅黑"/>
          <w:i w:val="0"/>
          <w:iCs w:val="0"/>
          <w:caps w:val="0"/>
          <w:color w:val="00BA50"/>
          <w:spacing w:val="0"/>
          <w:sz w:val="20"/>
          <w:szCs w:val="20"/>
          <w:u w:val="single"/>
        </w:rPr>
        <w:t>31050371</w:t>
      </w:r>
      <w:r>
        <w:rPr>
          <w:rFonts w:hint="eastAsia" w:ascii="微软雅黑" w:hAnsi="微软雅黑" w:eastAsia="微软雅黑" w:cs="微软雅黑"/>
          <w:i w:val="0"/>
          <w:iCs w:val="0"/>
          <w:caps w:val="0"/>
          <w:spacing w:val="0"/>
          <w:sz w:val="20"/>
          <w:szCs w:val="20"/>
          <w:u w:val="none"/>
        </w:rPr>
        <w:fldChar w:fldCharType="end"/>
      </w:r>
      <w:r>
        <w:rPr>
          <w:rFonts w:hint="eastAsia" w:ascii="微软雅黑" w:hAnsi="微软雅黑" w:eastAsia="微软雅黑" w:cs="微软雅黑"/>
          <w:i w:val="0"/>
          <w:iCs w:val="0"/>
          <w:caps w:val="0"/>
          <w:color w:val="999999"/>
          <w:spacing w:val="0"/>
          <w:sz w:val="20"/>
          <w:szCs w:val="20"/>
        </w:rPr>
        <w:t>期刊年卷：</w:t>
      </w:r>
      <w:r>
        <w:rPr>
          <w:rFonts w:hint="eastAsia" w:ascii="微软雅黑" w:hAnsi="微软雅黑" w:eastAsia="微软雅黑" w:cs="微软雅黑"/>
          <w:i w:val="0"/>
          <w:iCs w:val="0"/>
          <w:caps w:val="0"/>
          <w:color w:val="00BA50"/>
          <w:spacing w:val="0"/>
          <w:sz w:val="20"/>
          <w:szCs w:val="20"/>
          <w:u w:val="single"/>
        </w:rPr>
        <w:t>J Pineal Res</w:t>
      </w:r>
      <w:r>
        <w:rPr>
          <w:rFonts w:hint="eastAsia" w:ascii="微软雅黑" w:hAnsi="微软雅黑" w:eastAsia="微软雅黑" w:cs="微软雅黑"/>
          <w:i w:val="0"/>
          <w:iCs w:val="0"/>
          <w:caps w:val="0"/>
          <w:color w:val="00BA50"/>
          <w:spacing w:val="0"/>
          <w:sz w:val="20"/>
          <w:szCs w:val="20"/>
        </w:rPr>
        <w:t> 2019 Sep;67(2) </w:t>
      </w:r>
    </w:p>
    <w:p>
      <w:pPr>
        <w:pStyle w:val="7"/>
        <w:numPr>
          <w:ilvl w:val="0"/>
          <w:numId w:val="0"/>
        </w:numPr>
        <w:ind w:leftChars="0"/>
        <w:rPr>
          <w:rFonts w:hint="eastAsia"/>
          <w:sz w:val="18"/>
          <w:szCs w:val="20"/>
        </w:rPr>
      </w:pPr>
    </w:p>
    <w:p>
      <w:pPr>
        <w:numPr>
          <w:ilvl w:val="0"/>
          <w:numId w:val="1"/>
        </w:numPr>
        <w:ind w:left="420" w:leftChars="0" w:hanging="420" w:firstLineChars="0"/>
        <w:rPr>
          <w:b/>
          <w:bCs/>
          <w:color w:val="FF0000"/>
          <w:sz w:val="36"/>
          <w:szCs w:val="36"/>
        </w:rPr>
      </w:pPr>
      <w:r>
        <w:rPr>
          <w:rFonts w:hint="eastAsia"/>
          <w:b/>
          <w:bCs/>
          <w:color w:val="FF0000"/>
          <w:sz w:val="36"/>
          <w:szCs w:val="36"/>
          <w:lang w:eastAsia="zh-CN"/>
        </w:rPr>
        <w:t>方法学书写可参考已发表文献相关格式：</w:t>
      </w:r>
    </w:p>
    <w:p>
      <w:pPr>
        <w:numPr>
          <w:ilvl w:val="0"/>
          <w:numId w:val="0"/>
        </w:numPr>
        <w:ind w:leftChars="0"/>
        <w:rPr>
          <w:b/>
          <w:bCs/>
          <w:color w:val="FF0000"/>
          <w:sz w:val="36"/>
          <w:szCs w:val="36"/>
        </w:rPr>
      </w:pPr>
    </w:p>
    <w:p>
      <w:pPr>
        <w:pStyle w:val="7"/>
        <w:numPr>
          <w:ilvl w:val="0"/>
          <w:numId w:val="4"/>
        </w:numPr>
        <w:ind w:firstLineChars="0"/>
        <w:rPr>
          <w:rFonts w:asciiTheme="majorHAnsi" w:hAnsiTheme="majorHAnsi" w:eastAsiaTheme="majorHAnsi"/>
          <w:b/>
          <w:bCs/>
          <w:color w:val="4472C4" w:themeColor="accent1"/>
          <w:sz w:val="23"/>
          <w:szCs w:val="23"/>
          <w14:textFill>
            <w14:solidFill>
              <w14:schemeClr w14:val="accent1"/>
            </w14:solidFill>
          </w14:textFill>
        </w:rPr>
      </w:pPr>
      <w:r>
        <w:rPr>
          <w:rFonts w:asciiTheme="majorHAnsi" w:hAnsiTheme="majorHAnsi" w:eastAsiaTheme="majorHAnsi"/>
          <w:b/>
          <w:bCs/>
          <w:color w:val="4472C4" w:themeColor="accent1"/>
          <w:sz w:val="23"/>
          <w:szCs w:val="23"/>
          <w14:textFill>
            <w14:solidFill>
              <w14:schemeClr w14:val="accent1"/>
            </w14:solidFill>
          </w14:textFill>
        </w:rPr>
        <w:t>Western blot</w:t>
      </w:r>
    </w:p>
    <w:p>
      <w:pPr>
        <w:rPr>
          <w:rFonts w:asciiTheme="majorHAnsi" w:hAnsiTheme="majorHAnsi" w:eastAsiaTheme="majorHAnsi"/>
          <w:sz w:val="23"/>
          <w:szCs w:val="23"/>
        </w:rPr>
      </w:pPr>
      <w:r>
        <w:rPr>
          <w:rFonts w:asciiTheme="majorHAnsi" w:hAnsiTheme="majorHAnsi" w:eastAsiaTheme="majorHAnsi"/>
          <w:sz w:val="23"/>
          <w:szCs w:val="23"/>
        </w:rPr>
        <w:t xml:space="preserve">RPE were scraped from fibrin in TPI buffer with 1% Triton-X, 20mM Tris, 150 mM NaCL, 5 mM EDTA, pH 8.0. Cells were lysed for 1h at 4 C. Samples were diluted and resolved on a capillary electrophoresis-based western blot instrument </w:t>
      </w:r>
      <w:r>
        <w:rPr>
          <w:rFonts w:asciiTheme="majorHAnsi" w:hAnsiTheme="majorHAnsi" w:eastAsiaTheme="majorHAnsi"/>
          <w:sz w:val="23"/>
          <w:szCs w:val="23"/>
          <w:highlight w:val="yellow"/>
        </w:rPr>
        <w:t>(Protein Simple</w:t>
      </w:r>
      <w:r>
        <w:rPr>
          <w:rFonts w:hint="eastAsia" w:asciiTheme="majorHAnsi" w:hAnsiTheme="majorHAnsi" w:eastAsiaTheme="majorHAnsi"/>
          <w:sz w:val="23"/>
          <w:szCs w:val="23"/>
          <w:highlight w:val="yellow"/>
        </w:rPr>
        <w:t xml:space="preserve"> </w:t>
      </w:r>
      <w:r>
        <w:rPr>
          <w:rFonts w:asciiTheme="majorHAnsi" w:hAnsiTheme="majorHAnsi" w:eastAsiaTheme="majorHAnsi"/>
          <w:sz w:val="23"/>
          <w:szCs w:val="23"/>
          <w:highlight w:val="yellow"/>
        </w:rPr>
        <w:t>Wes; San Jose, CA</w:t>
      </w:r>
      <w:r>
        <w:rPr>
          <w:rFonts w:asciiTheme="majorHAnsi" w:hAnsiTheme="majorHAnsi" w:eastAsiaTheme="majorHAnsi"/>
          <w:sz w:val="23"/>
          <w:szCs w:val="23"/>
        </w:rPr>
        <w:t>) using manufacturer’s solution kits and protocol.Primary antibodies included RPE65 (401.8B11.3D9), Bestrophin 1(pAB125), CRALBP (B2), and b-actin (AC-15).</w:t>
      </w:r>
    </w:p>
    <w:p>
      <w:pPr>
        <w:rPr>
          <w:rFonts w:asciiTheme="majorHAnsi" w:hAnsiTheme="majorHAnsi" w:eastAsiaTheme="majorHAnsi"/>
          <w:sz w:val="23"/>
          <w:szCs w:val="23"/>
        </w:rPr>
      </w:pPr>
    </w:p>
    <w:p>
      <w:pPr>
        <w:pStyle w:val="7"/>
        <w:numPr>
          <w:ilvl w:val="0"/>
          <w:numId w:val="4"/>
        </w:numPr>
        <w:ind w:firstLineChars="0"/>
        <w:rPr>
          <w:rFonts w:asciiTheme="majorHAnsi" w:hAnsiTheme="majorHAnsi" w:eastAsiaTheme="majorHAnsi"/>
          <w:sz w:val="23"/>
          <w:szCs w:val="23"/>
        </w:rPr>
      </w:pPr>
      <w:r>
        <w:rPr>
          <w:rFonts w:asciiTheme="majorHAnsi" w:hAnsiTheme="majorHAnsi" w:eastAsiaTheme="majorHAnsi"/>
          <w:b/>
          <w:bCs/>
          <w:color w:val="4472C4" w:themeColor="accent1"/>
          <w:sz w:val="23"/>
          <w:szCs w:val="23"/>
          <w14:textFill>
            <w14:solidFill>
              <w14:schemeClr w14:val="accent1"/>
            </w14:solidFill>
          </w14:textFill>
        </w:rPr>
        <w:t xml:space="preserve">Simple Wes size assays (capillary-based electrophoresis). </w:t>
      </w:r>
      <w:r>
        <w:rPr>
          <w:rFonts w:asciiTheme="majorHAnsi" w:hAnsiTheme="majorHAnsi" w:eastAsiaTheme="majorHAnsi"/>
          <w:sz w:val="23"/>
          <w:szCs w:val="23"/>
        </w:rPr>
        <w:t>The methods were</w:t>
      </w:r>
    </w:p>
    <w:p>
      <w:pPr>
        <w:rPr>
          <w:rFonts w:asciiTheme="majorHAnsi" w:hAnsiTheme="majorHAnsi" w:eastAsiaTheme="majorHAnsi"/>
          <w:sz w:val="23"/>
          <w:szCs w:val="23"/>
        </w:rPr>
      </w:pPr>
      <w:r>
        <w:rPr>
          <w:rFonts w:asciiTheme="majorHAnsi" w:hAnsiTheme="majorHAnsi" w:eastAsiaTheme="majorHAnsi"/>
          <w:sz w:val="23"/>
          <w:szCs w:val="23"/>
        </w:rPr>
        <w:t>adopted according to the protocol provided by the manufacturer (Protein Simple/</w:t>
      </w:r>
    </w:p>
    <w:p>
      <w:pPr>
        <w:rPr>
          <w:rFonts w:asciiTheme="majorHAnsi" w:hAnsiTheme="majorHAnsi" w:eastAsiaTheme="majorHAnsi"/>
          <w:sz w:val="23"/>
          <w:szCs w:val="23"/>
        </w:rPr>
      </w:pPr>
      <w:r>
        <w:rPr>
          <w:rFonts w:asciiTheme="majorHAnsi" w:hAnsiTheme="majorHAnsi" w:eastAsiaTheme="majorHAnsi"/>
          <w:sz w:val="23"/>
          <w:szCs w:val="23"/>
        </w:rPr>
        <w:t>Biotechne, cat No: SM-W004). Briefly, cells were lysed in Buffer A (see the recipe</w:t>
      </w:r>
    </w:p>
    <w:p>
      <w:pPr>
        <w:rPr>
          <w:rFonts w:asciiTheme="majorHAnsi" w:hAnsiTheme="majorHAnsi" w:eastAsiaTheme="majorHAnsi"/>
          <w:sz w:val="23"/>
          <w:szCs w:val="23"/>
        </w:rPr>
      </w:pPr>
      <w:r>
        <w:rPr>
          <w:rFonts w:asciiTheme="majorHAnsi" w:hAnsiTheme="majorHAnsi" w:eastAsiaTheme="majorHAnsi"/>
          <w:sz w:val="23"/>
          <w:szCs w:val="23"/>
        </w:rPr>
        <w:t>above in IP method in supplementary information) with complete protease inhibitors</w:t>
      </w:r>
    </w:p>
    <w:p>
      <w:pPr>
        <w:rPr>
          <w:rFonts w:asciiTheme="majorHAnsi" w:hAnsiTheme="majorHAnsi" w:eastAsiaTheme="majorHAnsi"/>
          <w:sz w:val="23"/>
          <w:szCs w:val="23"/>
        </w:rPr>
      </w:pPr>
      <w:r>
        <w:rPr>
          <w:rFonts w:asciiTheme="majorHAnsi" w:hAnsiTheme="majorHAnsi" w:eastAsiaTheme="majorHAnsi"/>
          <w:sz w:val="23"/>
          <w:szCs w:val="23"/>
        </w:rPr>
        <w:t>(Thermo Scientific). The cell lysates were cleared by 13,000 × g centrifugation.</w:t>
      </w:r>
    </w:p>
    <w:p>
      <w:pPr>
        <w:rPr>
          <w:rFonts w:asciiTheme="majorHAnsi" w:hAnsiTheme="majorHAnsi" w:eastAsiaTheme="majorHAnsi"/>
          <w:sz w:val="23"/>
          <w:szCs w:val="23"/>
        </w:rPr>
      </w:pPr>
      <w:r>
        <w:rPr>
          <w:rFonts w:asciiTheme="majorHAnsi" w:hAnsiTheme="majorHAnsi" w:eastAsiaTheme="majorHAnsi"/>
          <w:sz w:val="23"/>
          <w:szCs w:val="23"/>
        </w:rPr>
        <w:t>The lysates were diluted with an equal volume of distilled water. Protein</w:t>
      </w:r>
    </w:p>
    <w:p>
      <w:pPr>
        <w:rPr>
          <w:rFonts w:asciiTheme="majorHAnsi" w:hAnsiTheme="majorHAnsi" w:eastAsiaTheme="majorHAnsi"/>
          <w:sz w:val="23"/>
          <w:szCs w:val="23"/>
        </w:rPr>
      </w:pPr>
      <w:r>
        <w:rPr>
          <w:rFonts w:asciiTheme="majorHAnsi" w:hAnsiTheme="majorHAnsi" w:eastAsiaTheme="majorHAnsi"/>
          <w:sz w:val="23"/>
          <w:szCs w:val="23"/>
        </w:rPr>
        <w:t>concentrations were measured with a Nanodrop spectrophotometer (Thermo</w:t>
      </w:r>
    </w:p>
    <w:p>
      <w:pPr>
        <w:rPr>
          <w:rFonts w:asciiTheme="majorHAnsi" w:hAnsiTheme="majorHAnsi" w:eastAsiaTheme="majorHAnsi"/>
          <w:sz w:val="23"/>
          <w:szCs w:val="23"/>
        </w:rPr>
      </w:pPr>
      <w:r>
        <w:rPr>
          <w:rFonts w:asciiTheme="majorHAnsi" w:hAnsiTheme="majorHAnsi" w:eastAsiaTheme="majorHAnsi"/>
          <w:sz w:val="23"/>
          <w:szCs w:val="23"/>
        </w:rPr>
        <w:t>Scientific). The cell lysates were further diluted with 0.1× Sample buffer to achieve a</w:t>
      </w:r>
    </w:p>
    <w:p>
      <w:pPr>
        <w:rPr>
          <w:rFonts w:asciiTheme="majorHAnsi" w:hAnsiTheme="majorHAnsi" w:eastAsiaTheme="majorHAnsi"/>
          <w:sz w:val="23"/>
          <w:szCs w:val="23"/>
        </w:rPr>
      </w:pPr>
      <w:r>
        <w:rPr>
          <w:rFonts w:asciiTheme="majorHAnsi" w:hAnsiTheme="majorHAnsi" w:eastAsiaTheme="majorHAnsi"/>
          <w:sz w:val="23"/>
          <w:szCs w:val="23"/>
        </w:rPr>
        <w:t>protein concentration of 0.4 μg/μl. In total, 1.4 μl of 5× Master mix was added to</w:t>
      </w:r>
    </w:p>
    <w:p>
      <w:pPr>
        <w:rPr>
          <w:rFonts w:asciiTheme="majorHAnsi" w:hAnsiTheme="majorHAnsi" w:eastAsiaTheme="majorHAnsi"/>
          <w:sz w:val="23"/>
          <w:szCs w:val="23"/>
          <w:highlight w:val="yellow"/>
        </w:rPr>
      </w:pPr>
      <w:r>
        <w:rPr>
          <w:rFonts w:asciiTheme="majorHAnsi" w:hAnsiTheme="majorHAnsi" w:eastAsiaTheme="majorHAnsi"/>
          <w:sz w:val="23"/>
          <w:szCs w:val="23"/>
        </w:rPr>
        <w:t>5.6 μl of diluted cell lysates.</w:t>
      </w:r>
      <w:r>
        <w:rPr>
          <w:rFonts w:asciiTheme="majorHAnsi" w:hAnsiTheme="majorHAnsi" w:eastAsiaTheme="majorHAnsi"/>
          <w:sz w:val="23"/>
          <w:szCs w:val="23"/>
          <w:highlight w:val="yellow"/>
        </w:rPr>
        <w:t xml:space="preserve"> Five microlitres of the mixtures were loaded to the</w:t>
      </w:r>
    </w:p>
    <w:p>
      <w:pPr>
        <w:rPr>
          <w:rFonts w:asciiTheme="majorHAnsi" w:hAnsiTheme="majorHAnsi" w:eastAsiaTheme="majorHAnsi"/>
          <w:sz w:val="23"/>
          <w:szCs w:val="23"/>
        </w:rPr>
      </w:pPr>
      <w:r>
        <w:rPr>
          <w:rFonts w:asciiTheme="majorHAnsi" w:hAnsiTheme="majorHAnsi" w:eastAsiaTheme="majorHAnsi"/>
          <w:sz w:val="23"/>
          <w:szCs w:val="23"/>
          <w:highlight w:val="yellow"/>
        </w:rPr>
        <w:t>W</w:t>
      </w:r>
      <w:r>
        <w:rPr>
          <w:rFonts w:hint="eastAsia" w:asciiTheme="majorHAnsi" w:hAnsiTheme="majorHAnsi" w:eastAsiaTheme="majorHAnsi"/>
          <w:sz w:val="23"/>
          <w:szCs w:val="23"/>
          <w:highlight w:val="yellow"/>
          <w:lang w:val="en-US" w:eastAsia="zh-CN"/>
        </w:rPr>
        <w:t>es</w:t>
      </w:r>
      <w:r>
        <w:rPr>
          <w:rFonts w:asciiTheme="majorHAnsi" w:hAnsiTheme="majorHAnsi" w:eastAsiaTheme="majorHAnsi"/>
          <w:sz w:val="23"/>
          <w:szCs w:val="23"/>
          <w:highlight w:val="yellow"/>
        </w:rPr>
        <w:t xml:space="preserve"> setup (Protein Simple/Biotechne, CA) for the Simple Wes assays.</w:t>
      </w:r>
      <w:r>
        <w:rPr>
          <w:rFonts w:asciiTheme="majorHAnsi" w:hAnsiTheme="majorHAnsi" w:eastAsiaTheme="majorHAnsi"/>
          <w:sz w:val="23"/>
          <w:szCs w:val="23"/>
        </w:rPr>
        <w:t xml:space="preserve"> In total,</w:t>
      </w:r>
    </w:p>
    <w:p>
      <w:pPr>
        <w:rPr>
          <w:rFonts w:asciiTheme="majorHAnsi" w:hAnsiTheme="majorHAnsi" w:eastAsiaTheme="majorHAnsi"/>
          <w:sz w:val="23"/>
          <w:szCs w:val="23"/>
        </w:rPr>
      </w:pPr>
      <w:r>
        <w:rPr>
          <w:rFonts w:asciiTheme="majorHAnsi" w:hAnsiTheme="majorHAnsi" w:eastAsiaTheme="majorHAnsi"/>
          <w:sz w:val="23"/>
          <w:szCs w:val="23"/>
        </w:rPr>
        <w:t>12–230 kDa separation capillaries were used in this work. Of note, all buffers were</w:t>
      </w:r>
    </w:p>
    <w:p>
      <w:pPr>
        <w:rPr>
          <w:rFonts w:asciiTheme="majorHAnsi" w:hAnsiTheme="majorHAnsi" w:eastAsiaTheme="majorHAnsi"/>
          <w:sz w:val="23"/>
          <w:szCs w:val="23"/>
        </w:rPr>
      </w:pPr>
      <w:r>
        <w:rPr>
          <w:rFonts w:asciiTheme="majorHAnsi" w:hAnsiTheme="majorHAnsi" w:eastAsiaTheme="majorHAnsi"/>
          <w:sz w:val="23"/>
          <w:szCs w:val="23"/>
        </w:rPr>
        <w:t>DTT-free, as the samples were run in native conditions. The antibody dilutions</w:t>
      </w:r>
    </w:p>
    <w:p>
      <w:pPr>
        <w:rPr>
          <w:rFonts w:asciiTheme="majorHAnsi" w:hAnsiTheme="majorHAnsi" w:eastAsiaTheme="majorHAnsi"/>
          <w:sz w:val="23"/>
          <w:szCs w:val="23"/>
        </w:rPr>
      </w:pPr>
      <w:r>
        <w:rPr>
          <w:rFonts w:asciiTheme="majorHAnsi" w:hAnsiTheme="majorHAnsi" w:eastAsiaTheme="majorHAnsi"/>
          <w:sz w:val="23"/>
          <w:szCs w:val="23"/>
        </w:rPr>
        <w:t>were applied, as indicated in each figure legend.</w:t>
      </w:r>
    </w:p>
    <w:p>
      <w:pPr>
        <w:rPr>
          <w:rFonts w:asciiTheme="majorHAnsi" w:hAnsiTheme="majorHAnsi" w:eastAsiaTheme="majorHAnsi"/>
          <w:sz w:val="23"/>
          <w:szCs w:val="23"/>
        </w:rPr>
      </w:pPr>
    </w:p>
    <w:p>
      <w:pPr>
        <w:pStyle w:val="7"/>
        <w:numPr>
          <w:ilvl w:val="0"/>
          <w:numId w:val="4"/>
        </w:numPr>
        <w:ind w:firstLineChars="0"/>
        <w:rPr>
          <w:rFonts w:asciiTheme="majorHAnsi" w:hAnsiTheme="majorHAnsi" w:eastAsiaTheme="majorHAnsi"/>
          <w:b/>
          <w:bCs/>
          <w:color w:val="4472C4" w:themeColor="accent1"/>
          <w:sz w:val="23"/>
          <w:szCs w:val="23"/>
          <w14:textFill>
            <w14:solidFill>
              <w14:schemeClr w14:val="accent1"/>
            </w14:solidFill>
          </w14:textFill>
        </w:rPr>
      </w:pPr>
      <w:r>
        <w:rPr>
          <w:rFonts w:asciiTheme="majorHAnsi" w:hAnsiTheme="majorHAnsi" w:eastAsiaTheme="majorHAnsi"/>
          <w:b/>
          <w:bCs/>
          <w:color w:val="4472C4" w:themeColor="accent1"/>
          <w:sz w:val="23"/>
          <w:szCs w:val="23"/>
          <w14:textFill>
            <w14:solidFill>
              <w14:schemeClr w14:val="accent1"/>
            </w14:solidFill>
          </w14:textFill>
        </w:rPr>
        <w:t>Capillary-based Immunoassay</w:t>
      </w:r>
    </w:p>
    <w:p>
      <w:pPr>
        <w:rPr>
          <w:rFonts w:asciiTheme="majorHAnsi" w:hAnsiTheme="majorHAnsi" w:eastAsiaTheme="majorHAnsi"/>
          <w:sz w:val="23"/>
          <w:szCs w:val="23"/>
        </w:rPr>
      </w:pPr>
      <w:r>
        <w:rPr>
          <w:rFonts w:asciiTheme="majorHAnsi" w:hAnsiTheme="majorHAnsi" w:eastAsiaTheme="majorHAnsi"/>
          <w:sz w:val="23"/>
          <w:szCs w:val="23"/>
        </w:rPr>
        <w:t>For APC expression analysis, organoids were grown under optimal growth culture conditions. For phospho-ERK-production analysis,organoids were grown under optimal growth culture conditions, followed by cultured without EF for 3 days and with or without</w:t>
      </w:r>
      <w:r>
        <w:rPr>
          <w:rFonts w:hint="eastAsia" w:asciiTheme="majorHAnsi" w:hAnsiTheme="majorHAnsi" w:eastAsiaTheme="majorHAnsi"/>
          <w:sz w:val="23"/>
          <w:szCs w:val="23"/>
        </w:rPr>
        <w:t xml:space="preserve"> </w:t>
      </w:r>
      <w:r>
        <w:rPr>
          <w:rFonts w:asciiTheme="majorHAnsi" w:hAnsiTheme="majorHAnsi" w:eastAsiaTheme="majorHAnsi"/>
          <w:sz w:val="23"/>
          <w:szCs w:val="23"/>
        </w:rPr>
        <w:t>1 m Mpan ERBB receptor inhibitor (Merck Millipore). For RHOA expression analysis, organoids were grown under optimal growth culture</w:t>
      </w:r>
      <w:r>
        <w:rPr>
          <w:rFonts w:hint="eastAsia" w:asciiTheme="majorHAnsi" w:hAnsiTheme="majorHAnsi" w:eastAsiaTheme="majorHAnsi"/>
          <w:sz w:val="23"/>
          <w:szCs w:val="23"/>
        </w:rPr>
        <w:t xml:space="preserve"> </w:t>
      </w:r>
      <w:r>
        <w:rPr>
          <w:rFonts w:asciiTheme="majorHAnsi" w:hAnsiTheme="majorHAnsi" w:eastAsiaTheme="majorHAnsi"/>
          <w:sz w:val="23"/>
          <w:szCs w:val="23"/>
        </w:rPr>
        <w:t>conditions, followed by cultured with doxycycline (50 ng/ml) for 6 hr. Proteins were extracted from organoids using Cell Lysis</w:t>
      </w:r>
      <w:r>
        <w:rPr>
          <w:rFonts w:hint="eastAsia" w:asciiTheme="majorHAnsi" w:hAnsiTheme="majorHAnsi" w:eastAsiaTheme="majorHAnsi"/>
          <w:sz w:val="23"/>
          <w:szCs w:val="23"/>
        </w:rPr>
        <w:t xml:space="preserve"> </w:t>
      </w:r>
      <w:r>
        <w:rPr>
          <w:rFonts w:asciiTheme="majorHAnsi" w:hAnsiTheme="majorHAnsi" w:eastAsiaTheme="majorHAnsi"/>
          <w:sz w:val="23"/>
          <w:szCs w:val="23"/>
        </w:rPr>
        <w:t xml:space="preserve">Buffer (#9803, CST) according to the manufacturer’s instructions. </w:t>
      </w:r>
      <w:r>
        <w:rPr>
          <w:rFonts w:asciiTheme="majorHAnsi" w:hAnsiTheme="majorHAnsi" w:eastAsiaTheme="majorHAnsi"/>
          <w:sz w:val="23"/>
          <w:szCs w:val="23"/>
          <w:highlight w:val="yellow"/>
        </w:rPr>
        <w:t>Protein separation and detection were performed using an</w:t>
      </w:r>
      <w:r>
        <w:rPr>
          <w:rFonts w:hint="eastAsia" w:asciiTheme="majorHAnsi" w:hAnsiTheme="majorHAnsi" w:eastAsiaTheme="majorHAnsi"/>
          <w:sz w:val="23"/>
          <w:szCs w:val="23"/>
          <w:highlight w:val="yellow"/>
        </w:rPr>
        <w:t xml:space="preserve"> </w:t>
      </w:r>
      <w:r>
        <w:rPr>
          <w:rFonts w:asciiTheme="majorHAnsi" w:hAnsiTheme="majorHAnsi" w:eastAsiaTheme="majorHAnsi"/>
          <w:sz w:val="23"/>
          <w:szCs w:val="23"/>
          <w:highlight w:val="yellow"/>
        </w:rPr>
        <w:t>automated capillary electrophoresis system (Simple Western system and Compass software; protein simple). Wes Separation</w:t>
      </w:r>
      <w:r>
        <w:rPr>
          <w:rFonts w:hint="eastAsia" w:asciiTheme="majorHAnsi" w:hAnsiTheme="majorHAnsi" w:eastAsiaTheme="majorHAnsi"/>
          <w:sz w:val="23"/>
          <w:szCs w:val="23"/>
          <w:highlight w:val="yellow"/>
        </w:rPr>
        <w:t xml:space="preserve"> </w:t>
      </w:r>
      <w:r>
        <w:rPr>
          <w:rFonts w:asciiTheme="majorHAnsi" w:hAnsiTheme="majorHAnsi" w:eastAsiaTheme="majorHAnsi"/>
          <w:sz w:val="23"/>
          <w:szCs w:val="23"/>
          <w:highlight w:val="yellow"/>
        </w:rPr>
        <w:t xml:space="preserve">Capillary Cartridges for 66-440 kDa and 12-230 kDa were used for APC and the other proteins, </w:t>
      </w:r>
      <w:r>
        <w:rPr>
          <w:rFonts w:asciiTheme="majorHAnsi" w:hAnsiTheme="majorHAnsi" w:eastAsiaTheme="majorHAnsi"/>
          <w:sz w:val="23"/>
          <w:szCs w:val="23"/>
        </w:rPr>
        <w:t>respectively. Antibodies against</w:t>
      </w:r>
      <w:r>
        <w:rPr>
          <w:rFonts w:hint="eastAsia" w:asciiTheme="majorHAnsi" w:hAnsiTheme="majorHAnsi" w:eastAsiaTheme="majorHAnsi"/>
          <w:sz w:val="23"/>
          <w:szCs w:val="23"/>
        </w:rPr>
        <w:t xml:space="preserve"> </w:t>
      </w:r>
      <w:r>
        <w:rPr>
          <w:rFonts w:asciiTheme="majorHAnsi" w:hAnsiTheme="majorHAnsi" w:eastAsiaTheme="majorHAnsi"/>
          <w:sz w:val="23"/>
          <w:szCs w:val="23"/>
        </w:rPr>
        <w:t>the following proteins were used; ERK-1/2 (#9102, CST, 1:50), phospho ERK1/2 (T202/Y204) (#4370, CST, 1:50), APC (#2504,CST, 1:50), RHOA (#2117S, CST, 1:50) and anti-b actin (#A1978, Sigma, 1:50). Signals were detected with an HRP-conjugated secondary</w:t>
      </w:r>
      <w:r>
        <w:rPr>
          <w:rFonts w:hint="eastAsia" w:asciiTheme="majorHAnsi" w:hAnsiTheme="majorHAnsi" w:eastAsiaTheme="majorHAnsi"/>
          <w:sz w:val="23"/>
          <w:szCs w:val="23"/>
        </w:rPr>
        <w:t xml:space="preserve"> </w:t>
      </w:r>
      <w:r>
        <w:rPr>
          <w:rFonts w:asciiTheme="majorHAnsi" w:hAnsiTheme="majorHAnsi" w:eastAsiaTheme="majorHAnsi"/>
          <w:sz w:val="23"/>
          <w:szCs w:val="23"/>
        </w:rPr>
        <w:t>anti-rabbit antibody and were visualized using protein simple software.</w:t>
      </w:r>
    </w:p>
    <w:p>
      <w:pPr>
        <w:rPr>
          <w:rFonts w:asciiTheme="majorHAnsi" w:hAnsiTheme="majorHAnsi" w:eastAsiaTheme="majorHAnsi"/>
          <w:sz w:val="23"/>
          <w:szCs w:val="23"/>
        </w:rPr>
      </w:pPr>
    </w:p>
    <w:p>
      <w:pPr>
        <w:pStyle w:val="7"/>
        <w:numPr>
          <w:ilvl w:val="0"/>
          <w:numId w:val="4"/>
        </w:numPr>
        <w:ind w:firstLineChars="0"/>
        <w:rPr>
          <w:rFonts w:asciiTheme="majorHAnsi" w:hAnsiTheme="majorHAnsi" w:eastAsiaTheme="majorHAnsi"/>
          <w:b w:val="0"/>
          <w:bCs w:val="0"/>
          <w:color w:val="4472C4" w:themeColor="accent1"/>
          <w:sz w:val="23"/>
          <w:szCs w:val="23"/>
          <w14:textFill>
            <w14:solidFill>
              <w14:schemeClr w14:val="accent1"/>
            </w14:solidFill>
          </w14:textFill>
        </w:rPr>
      </w:pPr>
      <w:r>
        <w:rPr>
          <w:rFonts w:asciiTheme="majorHAnsi" w:hAnsiTheme="majorHAnsi" w:eastAsiaTheme="majorHAnsi"/>
          <w:b w:val="0"/>
          <w:bCs w:val="0"/>
          <w:color w:val="4472C4" w:themeColor="accent1"/>
          <w:sz w:val="23"/>
          <w:szCs w:val="23"/>
          <w14:textFill>
            <w14:solidFill>
              <w14:schemeClr w14:val="accent1"/>
            </w14:solidFill>
          </w14:textFill>
        </w:rPr>
        <w:t>Protein concentration</w:t>
      </w:r>
      <w:r>
        <w:rPr>
          <w:rFonts w:hint="eastAsia" w:asciiTheme="majorHAnsi" w:hAnsiTheme="majorHAnsi" w:eastAsiaTheme="majorHAnsi"/>
          <w:b w:val="0"/>
          <w:bCs w:val="0"/>
          <w:color w:val="4472C4" w:themeColor="accent1"/>
          <w:sz w:val="23"/>
          <w:szCs w:val="23"/>
          <w14:textFill>
            <w14:solidFill>
              <w14:schemeClr w14:val="accent1"/>
            </w14:solidFill>
          </w14:textFill>
        </w:rPr>
        <w:t xml:space="preserve"> </w:t>
      </w:r>
      <w:r>
        <w:rPr>
          <w:rFonts w:asciiTheme="majorHAnsi" w:hAnsiTheme="majorHAnsi" w:eastAsiaTheme="majorHAnsi"/>
          <w:b w:val="0"/>
          <w:bCs w:val="0"/>
          <w:color w:val="4472C4" w:themeColor="accent1"/>
          <w:sz w:val="23"/>
          <w:szCs w:val="23"/>
          <w14:textFill>
            <w14:solidFill>
              <w14:schemeClr w14:val="accent1"/>
            </w14:solidFill>
          </w14:textFill>
        </w:rPr>
        <w:t>was measured using Coomassie (Bradford) protein assay.</w:t>
      </w:r>
    </w:p>
    <w:p>
      <w:pPr>
        <w:rPr>
          <w:rFonts w:asciiTheme="majorHAnsi" w:hAnsiTheme="majorHAnsi" w:eastAsiaTheme="majorHAnsi"/>
          <w:sz w:val="23"/>
          <w:szCs w:val="23"/>
        </w:rPr>
      </w:pPr>
      <w:r>
        <w:rPr>
          <w:rFonts w:asciiTheme="majorHAnsi" w:hAnsiTheme="majorHAnsi" w:eastAsiaTheme="majorHAnsi"/>
          <w:sz w:val="23"/>
          <w:szCs w:val="23"/>
        </w:rPr>
        <w:t>Cell and tissue lysates from normal human and SMA</w:t>
      </w:r>
      <w:r>
        <w:rPr>
          <w:rFonts w:hint="eastAsia" w:asciiTheme="majorHAnsi" w:hAnsiTheme="majorHAnsi" w:eastAsiaTheme="majorHAnsi"/>
          <w:sz w:val="23"/>
          <w:szCs w:val="23"/>
        </w:rPr>
        <w:t xml:space="preserve"> </w:t>
      </w:r>
      <w:r>
        <w:rPr>
          <w:rFonts w:asciiTheme="majorHAnsi" w:hAnsiTheme="majorHAnsi" w:eastAsiaTheme="majorHAnsi"/>
          <w:sz w:val="23"/>
          <w:szCs w:val="23"/>
        </w:rPr>
        <w:t>patient dividing cells, normal (non-SMA) and SMA mouse</w:t>
      </w:r>
      <w:r>
        <w:rPr>
          <w:rFonts w:hint="eastAsia" w:asciiTheme="majorHAnsi" w:hAnsiTheme="majorHAnsi" w:eastAsiaTheme="majorHAnsi"/>
          <w:sz w:val="23"/>
          <w:szCs w:val="23"/>
        </w:rPr>
        <w:t xml:space="preserve"> </w:t>
      </w:r>
      <w:r>
        <w:rPr>
          <w:rFonts w:asciiTheme="majorHAnsi" w:hAnsiTheme="majorHAnsi" w:eastAsiaTheme="majorHAnsi"/>
          <w:sz w:val="23"/>
          <w:szCs w:val="23"/>
        </w:rPr>
        <w:t>tissues and normal (non-SMA) human and SMA patient</w:t>
      </w:r>
    </w:p>
    <w:p>
      <w:pPr>
        <w:rPr>
          <w:rFonts w:asciiTheme="majorHAnsi" w:hAnsiTheme="majorHAnsi" w:eastAsiaTheme="majorHAnsi"/>
          <w:sz w:val="23"/>
          <w:szCs w:val="23"/>
        </w:rPr>
      </w:pPr>
      <w:r>
        <w:rPr>
          <w:rFonts w:asciiTheme="majorHAnsi" w:hAnsiTheme="majorHAnsi" w:eastAsiaTheme="majorHAnsi"/>
          <w:sz w:val="23"/>
          <w:szCs w:val="23"/>
        </w:rPr>
        <w:t>spinal cord tissues were prepared and diluted to protein</w:t>
      </w:r>
      <w:r>
        <w:rPr>
          <w:rFonts w:hint="eastAsia" w:asciiTheme="majorHAnsi" w:hAnsiTheme="majorHAnsi" w:eastAsiaTheme="majorHAnsi"/>
          <w:sz w:val="23"/>
          <w:szCs w:val="23"/>
        </w:rPr>
        <w:t xml:space="preserve"> </w:t>
      </w:r>
      <w:r>
        <w:rPr>
          <w:rFonts w:asciiTheme="majorHAnsi" w:hAnsiTheme="majorHAnsi" w:eastAsiaTheme="majorHAnsi"/>
          <w:sz w:val="23"/>
          <w:szCs w:val="23"/>
        </w:rPr>
        <w:t>concentration of 0.2 mg/ml using sample preparation kit</w:t>
      </w:r>
      <w:r>
        <w:rPr>
          <w:rFonts w:hint="eastAsia" w:asciiTheme="majorHAnsi" w:hAnsiTheme="majorHAnsi" w:eastAsiaTheme="majorHAnsi"/>
          <w:sz w:val="23"/>
          <w:szCs w:val="23"/>
        </w:rPr>
        <w:t xml:space="preserve"> </w:t>
      </w:r>
      <w:r>
        <w:rPr>
          <w:rFonts w:asciiTheme="majorHAnsi" w:hAnsiTheme="majorHAnsi" w:eastAsiaTheme="majorHAnsi"/>
          <w:sz w:val="23"/>
          <w:szCs w:val="23"/>
        </w:rPr>
        <w:t>(Protein Simple) for automated capillary western blot system,</w:t>
      </w:r>
      <w:r>
        <w:rPr>
          <w:rFonts w:hint="eastAsia" w:asciiTheme="majorHAnsi" w:hAnsiTheme="majorHAnsi" w:eastAsiaTheme="majorHAnsi"/>
          <w:sz w:val="23"/>
          <w:szCs w:val="23"/>
        </w:rPr>
        <w:t xml:space="preserve"> </w:t>
      </w:r>
      <w:r>
        <w:rPr>
          <w:rFonts w:asciiTheme="majorHAnsi" w:hAnsiTheme="majorHAnsi" w:eastAsiaTheme="majorHAnsi"/>
          <w:sz w:val="23"/>
          <w:szCs w:val="23"/>
          <w:highlight w:val="yellow"/>
        </w:rPr>
        <w:t>W</w:t>
      </w:r>
      <w:r>
        <w:rPr>
          <w:rFonts w:hint="eastAsia" w:asciiTheme="majorHAnsi" w:hAnsiTheme="majorHAnsi" w:eastAsiaTheme="majorHAnsi"/>
          <w:sz w:val="23"/>
          <w:szCs w:val="23"/>
          <w:highlight w:val="yellow"/>
          <w:lang w:val="en-US" w:eastAsia="zh-CN"/>
        </w:rPr>
        <w:t>es</w:t>
      </w:r>
      <w:r>
        <w:rPr>
          <w:rFonts w:hint="eastAsia" w:asciiTheme="majorHAnsi" w:hAnsiTheme="majorHAnsi" w:eastAsiaTheme="majorHAnsi"/>
          <w:sz w:val="23"/>
          <w:szCs w:val="23"/>
          <w:highlight w:val="yellow"/>
        </w:rPr>
        <w:t xml:space="preserve"> </w:t>
      </w:r>
      <w:r>
        <w:rPr>
          <w:rFonts w:asciiTheme="majorHAnsi" w:hAnsiTheme="majorHAnsi" w:eastAsiaTheme="majorHAnsi"/>
          <w:sz w:val="23"/>
          <w:szCs w:val="23"/>
          <w:highlight w:val="yellow"/>
        </w:rPr>
        <w:t>System (Protein Simple)</w:t>
      </w:r>
      <w:r>
        <w:rPr>
          <w:rFonts w:asciiTheme="majorHAnsi" w:hAnsiTheme="majorHAnsi" w:eastAsiaTheme="majorHAnsi"/>
          <w:sz w:val="23"/>
          <w:szCs w:val="23"/>
        </w:rPr>
        <w:t>, which utilizes capillary</w:t>
      </w:r>
      <w:r>
        <w:rPr>
          <w:rFonts w:hint="eastAsia" w:asciiTheme="majorHAnsi" w:hAnsiTheme="majorHAnsi" w:eastAsiaTheme="majorHAnsi"/>
          <w:sz w:val="23"/>
          <w:szCs w:val="23"/>
        </w:rPr>
        <w:t xml:space="preserve"> </w:t>
      </w:r>
      <w:r>
        <w:rPr>
          <w:rFonts w:asciiTheme="majorHAnsi" w:hAnsiTheme="majorHAnsi" w:eastAsiaTheme="majorHAnsi"/>
          <w:sz w:val="23"/>
          <w:szCs w:val="23"/>
        </w:rPr>
        <w:t>based</w:t>
      </w:r>
      <w:r>
        <w:rPr>
          <w:rFonts w:hint="eastAsia" w:asciiTheme="majorHAnsi" w:hAnsiTheme="majorHAnsi" w:eastAsiaTheme="majorHAnsi"/>
          <w:sz w:val="23"/>
          <w:szCs w:val="23"/>
        </w:rPr>
        <w:t xml:space="preserve"> </w:t>
      </w:r>
      <w:r>
        <w:rPr>
          <w:rFonts w:asciiTheme="majorHAnsi" w:hAnsiTheme="majorHAnsi" w:eastAsiaTheme="majorHAnsi"/>
          <w:sz w:val="23"/>
          <w:szCs w:val="23"/>
        </w:rPr>
        <w:t>electrophoretic separation and detection of proteins. Mouse spinal cord, tissues were isolated from 7-day-old</w:t>
      </w:r>
      <w:r>
        <w:rPr>
          <w:rFonts w:hint="eastAsia" w:asciiTheme="majorHAnsi" w:hAnsiTheme="majorHAnsi" w:eastAsiaTheme="majorHAnsi"/>
          <w:sz w:val="23"/>
          <w:szCs w:val="23"/>
        </w:rPr>
        <w:t xml:space="preserve"> </w:t>
      </w:r>
      <w:r>
        <w:rPr>
          <w:rFonts w:asciiTheme="majorHAnsi" w:hAnsiTheme="majorHAnsi" w:eastAsiaTheme="majorHAnsi"/>
          <w:sz w:val="23"/>
          <w:szCs w:val="23"/>
        </w:rPr>
        <w:t>non-SMA and SMA mice. Cell or tissue extracts with equal</w:t>
      </w:r>
      <w:r>
        <w:rPr>
          <w:rFonts w:hint="eastAsia" w:asciiTheme="majorHAnsi" w:hAnsiTheme="majorHAnsi" w:eastAsiaTheme="majorHAnsi"/>
          <w:sz w:val="23"/>
          <w:szCs w:val="23"/>
        </w:rPr>
        <w:t xml:space="preserve"> </w:t>
      </w:r>
      <w:r>
        <w:rPr>
          <w:rFonts w:asciiTheme="majorHAnsi" w:hAnsiTheme="majorHAnsi" w:eastAsiaTheme="majorHAnsi"/>
          <w:sz w:val="23"/>
          <w:szCs w:val="23"/>
        </w:rPr>
        <w:t>protein concentration were mixed with 0.1× sample buffer</w:t>
      </w:r>
      <w:r>
        <w:rPr>
          <w:rFonts w:hint="eastAsia" w:asciiTheme="majorHAnsi" w:hAnsiTheme="majorHAnsi" w:eastAsiaTheme="majorHAnsi"/>
          <w:sz w:val="23"/>
          <w:szCs w:val="23"/>
        </w:rPr>
        <w:t xml:space="preserve"> </w:t>
      </w:r>
      <w:r>
        <w:rPr>
          <w:rFonts w:asciiTheme="majorHAnsi" w:hAnsiTheme="majorHAnsi" w:eastAsiaTheme="majorHAnsi"/>
          <w:sz w:val="23"/>
          <w:szCs w:val="23"/>
        </w:rPr>
        <w:t>and 5×fluorescentmaster mix. The protein samples and the</w:t>
      </w:r>
      <w:r>
        <w:rPr>
          <w:rFonts w:hint="eastAsia" w:asciiTheme="majorHAnsi" w:hAnsiTheme="majorHAnsi" w:eastAsiaTheme="majorHAnsi"/>
          <w:sz w:val="23"/>
          <w:szCs w:val="23"/>
        </w:rPr>
        <w:t xml:space="preserve"> </w:t>
      </w:r>
      <w:r>
        <w:rPr>
          <w:rFonts w:asciiTheme="majorHAnsi" w:hAnsiTheme="majorHAnsi" w:eastAsiaTheme="majorHAnsi"/>
          <w:sz w:val="23"/>
          <w:szCs w:val="23"/>
        </w:rPr>
        <w:t>biotinylated ladder were denatured by heating at 95</w:t>
      </w:r>
      <w:r>
        <w:rPr>
          <w:rFonts w:hint="eastAsia" w:ascii="微软雅黑" w:hAnsi="微软雅黑" w:eastAsia="微软雅黑" w:cs="微软雅黑"/>
          <w:sz w:val="23"/>
          <w:szCs w:val="23"/>
        </w:rPr>
        <w:t>◦</w:t>
      </w:r>
      <w:r>
        <w:rPr>
          <w:rFonts w:asciiTheme="majorHAnsi" w:hAnsiTheme="majorHAnsi" w:eastAsiaTheme="majorHAnsi"/>
          <w:sz w:val="23"/>
          <w:szCs w:val="23"/>
        </w:rPr>
        <w:t>C for 5</w:t>
      </w:r>
    </w:p>
    <w:p>
      <w:pPr>
        <w:rPr>
          <w:rFonts w:asciiTheme="majorHAnsi" w:hAnsiTheme="majorHAnsi" w:eastAsiaTheme="majorHAnsi"/>
          <w:sz w:val="23"/>
          <w:szCs w:val="23"/>
        </w:rPr>
      </w:pPr>
      <w:r>
        <w:rPr>
          <w:rFonts w:asciiTheme="majorHAnsi" w:hAnsiTheme="majorHAnsi" w:eastAsiaTheme="majorHAnsi"/>
          <w:sz w:val="23"/>
          <w:szCs w:val="23"/>
        </w:rPr>
        <w:t>min. Protein samples, biotinylated ladder, primary antibodies</w:t>
      </w:r>
      <w:r>
        <w:rPr>
          <w:rFonts w:hint="eastAsia" w:asciiTheme="majorHAnsi" w:hAnsiTheme="majorHAnsi" w:eastAsiaTheme="majorHAnsi"/>
          <w:sz w:val="23"/>
          <w:szCs w:val="23"/>
        </w:rPr>
        <w:t xml:space="preserve"> </w:t>
      </w:r>
      <w:r>
        <w:rPr>
          <w:rFonts w:asciiTheme="majorHAnsi" w:hAnsiTheme="majorHAnsi" w:eastAsiaTheme="majorHAnsi"/>
          <w:sz w:val="23"/>
          <w:szCs w:val="23"/>
        </w:rPr>
        <w:t>(diluted 1:100 with antibody diluent), horseradish peroxidase</w:t>
      </w:r>
      <w:r>
        <w:rPr>
          <w:rFonts w:hint="eastAsia" w:asciiTheme="majorHAnsi" w:hAnsiTheme="majorHAnsi" w:eastAsiaTheme="majorHAnsi"/>
          <w:sz w:val="23"/>
          <w:szCs w:val="23"/>
        </w:rPr>
        <w:t xml:space="preserve"> </w:t>
      </w:r>
      <w:r>
        <w:rPr>
          <w:rFonts w:asciiTheme="majorHAnsi" w:hAnsiTheme="majorHAnsi" w:eastAsiaTheme="majorHAnsi"/>
          <w:sz w:val="23"/>
          <w:szCs w:val="23"/>
        </w:rPr>
        <w:t>(HRP)-conjugated secondary antibodies, chemiluminescence</w:t>
      </w:r>
      <w:r>
        <w:rPr>
          <w:rFonts w:hint="eastAsia" w:asciiTheme="majorHAnsi" w:hAnsiTheme="majorHAnsi" w:eastAsiaTheme="majorHAnsi"/>
          <w:sz w:val="23"/>
          <w:szCs w:val="23"/>
        </w:rPr>
        <w:t xml:space="preserve"> </w:t>
      </w:r>
      <w:r>
        <w:rPr>
          <w:rFonts w:asciiTheme="majorHAnsi" w:hAnsiTheme="majorHAnsi" w:eastAsiaTheme="majorHAnsi"/>
          <w:sz w:val="23"/>
          <w:szCs w:val="23"/>
        </w:rPr>
        <w:t>substrate and wash buffer were dispensed into</w:t>
      </w:r>
      <w:r>
        <w:rPr>
          <w:rFonts w:hint="eastAsia" w:asciiTheme="majorHAnsi" w:hAnsiTheme="majorHAnsi" w:eastAsiaTheme="majorHAnsi"/>
          <w:sz w:val="23"/>
          <w:szCs w:val="23"/>
        </w:rPr>
        <w:t xml:space="preserve"> </w:t>
      </w:r>
      <w:r>
        <w:rPr>
          <w:rFonts w:asciiTheme="majorHAnsi" w:hAnsiTheme="majorHAnsi" w:eastAsiaTheme="majorHAnsi"/>
          <w:sz w:val="23"/>
          <w:szCs w:val="23"/>
        </w:rPr>
        <w:t>respective wells of the assay plate and placed in Wes equipment. Signal intensity (area) of the protein was normalized</w:t>
      </w:r>
      <w:r>
        <w:rPr>
          <w:rFonts w:hint="eastAsia" w:asciiTheme="majorHAnsi" w:hAnsiTheme="majorHAnsi" w:eastAsiaTheme="majorHAnsi"/>
          <w:sz w:val="23"/>
          <w:szCs w:val="23"/>
        </w:rPr>
        <w:t xml:space="preserve"> </w:t>
      </w:r>
      <w:r>
        <w:rPr>
          <w:rFonts w:asciiTheme="majorHAnsi" w:hAnsiTheme="majorHAnsi" w:eastAsiaTheme="majorHAnsi"/>
          <w:sz w:val="23"/>
          <w:szCs w:val="23"/>
        </w:rPr>
        <w:t>to the peak area of loading control</w:t>
      </w:r>
      <w:r>
        <w:rPr>
          <w:rFonts w:hint="eastAsia" w:asciiTheme="majorHAnsi" w:hAnsiTheme="majorHAnsi" w:eastAsiaTheme="majorHAnsi"/>
          <w:sz w:val="23"/>
          <w:szCs w:val="23"/>
        </w:rPr>
        <w:t xml:space="preserve">  </w:t>
      </w:r>
      <w:r>
        <w:rPr>
          <w:rFonts w:asciiTheme="majorHAnsi" w:hAnsiTheme="majorHAnsi" w:eastAsiaTheme="majorHAnsi"/>
          <w:sz w:val="23"/>
          <w:szCs w:val="23"/>
        </w:rPr>
        <w:t>-actin or -tubulin.</w:t>
      </w:r>
      <w:r>
        <w:rPr>
          <w:rFonts w:hint="eastAsia" w:asciiTheme="majorHAnsi" w:hAnsiTheme="majorHAnsi" w:eastAsiaTheme="majorHAnsi"/>
          <w:sz w:val="23"/>
          <w:szCs w:val="23"/>
        </w:rPr>
        <w:t xml:space="preserve"> </w:t>
      </w:r>
      <w:r>
        <w:rPr>
          <w:rFonts w:asciiTheme="majorHAnsi" w:hAnsiTheme="majorHAnsi" w:eastAsiaTheme="majorHAnsi"/>
          <w:sz w:val="23"/>
          <w:szCs w:val="23"/>
        </w:rPr>
        <w:t>Quantitative analysis was performed using Compass software</w:t>
      </w:r>
      <w:r>
        <w:rPr>
          <w:rFonts w:hint="eastAsia" w:asciiTheme="majorHAnsi" w:hAnsiTheme="majorHAnsi" w:eastAsiaTheme="majorHAnsi"/>
          <w:sz w:val="23"/>
          <w:szCs w:val="23"/>
        </w:rPr>
        <w:t xml:space="preserve"> </w:t>
      </w:r>
      <w:r>
        <w:rPr>
          <w:rFonts w:asciiTheme="majorHAnsi" w:hAnsiTheme="majorHAnsi" w:eastAsiaTheme="majorHAnsi"/>
          <w:sz w:val="23"/>
          <w:szCs w:val="23"/>
        </w:rPr>
        <w:t>(Protein Simple) and statistical analysis of data was</w:t>
      </w:r>
      <w:r>
        <w:rPr>
          <w:rFonts w:hint="eastAsia" w:asciiTheme="majorHAnsi" w:hAnsiTheme="majorHAnsi" w:eastAsiaTheme="majorHAnsi"/>
          <w:sz w:val="23"/>
          <w:szCs w:val="23"/>
        </w:rPr>
        <w:t xml:space="preserve"> </w:t>
      </w:r>
      <w:r>
        <w:rPr>
          <w:rFonts w:asciiTheme="majorHAnsi" w:hAnsiTheme="majorHAnsi" w:eastAsiaTheme="majorHAnsi"/>
          <w:sz w:val="23"/>
          <w:szCs w:val="23"/>
        </w:rPr>
        <w:t>performed as described in below</w:t>
      </w:r>
      <w:r>
        <w:rPr>
          <w:rFonts w:hint="eastAsia" w:asciiTheme="majorHAnsi" w:hAnsiTheme="majorHAnsi" w:eastAsiaTheme="majorHAnsi"/>
          <w:sz w:val="23"/>
          <w:szCs w:val="23"/>
        </w:rPr>
        <w:t xml:space="preserve"> </w:t>
      </w:r>
      <w:r>
        <w:rPr>
          <w:rFonts w:asciiTheme="majorHAnsi" w:hAnsiTheme="majorHAnsi" w:eastAsiaTheme="majorHAnsi"/>
          <w:sz w:val="23"/>
          <w:szCs w:val="23"/>
        </w:rPr>
        <w:t>in ‘Statistical</w:t>
      </w:r>
      <w:r>
        <w:rPr>
          <w:rFonts w:hint="eastAsia" w:asciiTheme="majorHAnsi" w:hAnsiTheme="majorHAnsi" w:eastAsiaTheme="majorHAnsi"/>
          <w:sz w:val="23"/>
          <w:szCs w:val="23"/>
        </w:rPr>
        <w:t xml:space="preserve"> </w:t>
      </w:r>
      <w:r>
        <w:rPr>
          <w:rFonts w:asciiTheme="majorHAnsi" w:hAnsiTheme="majorHAnsi" w:eastAsiaTheme="majorHAnsi"/>
          <w:sz w:val="23"/>
          <w:szCs w:val="23"/>
        </w:rPr>
        <w:t>Analysis’ section.</w:t>
      </w:r>
    </w:p>
    <w:p>
      <w:pPr>
        <w:rPr>
          <w:rFonts w:asciiTheme="majorHAnsi" w:hAnsiTheme="majorHAnsi" w:eastAsiaTheme="majorHAnsi"/>
          <w:sz w:val="23"/>
          <w:szCs w:val="23"/>
        </w:rPr>
      </w:pPr>
    </w:p>
    <w:p>
      <w:pPr>
        <w:pStyle w:val="7"/>
        <w:numPr>
          <w:ilvl w:val="0"/>
          <w:numId w:val="4"/>
        </w:numPr>
        <w:ind w:firstLineChars="0"/>
        <w:rPr>
          <w:rFonts w:asciiTheme="majorHAnsi" w:hAnsiTheme="majorHAnsi" w:eastAsiaTheme="majorHAnsi"/>
          <w:sz w:val="23"/>
          <w:szCs w:val="23"/>
        </w:rPr>
      </w:pPr>
      <w:r>
        <w:rPr>
          <w:rFonts w:asciiTheme="majorHAnsi" w:hAnsiTheme="majorHAnsi" w:eastAsiaTheme="majorHAnsi"/>
          <w:b/>
          <w:bCs/>
          <w:color w:val="4472C4" w:themeColor="accent1"/>
          <w:sz w:val="23"/>
          <w:szCs w:val="23"/>
          <w14:textFill>
            <w14:solidFill>
              <w14:schemeClr w14:val="accent1"/>
            </w14:solidFill>
          </w14:textFill>
        </w:rPr>
        <w:t xml:space="preserve">Western Analysis. </w:t>
      </w:r>
      <w:r>
        <w:rPr>
          <w:rFonts w:asciiTheme="majorHAnsi" w:hAnsiTheme="majorHAnsi" w:eastAsiaTheme="majorHAnsi"/>
          <w:sz w:val="23"/>
          <w:szCs w:val="23"/>
        </w:rPr>
        <w:t xml:space="preserve">Western analysis on blots for GARP1 were performed as previously described using a custom designed affinity purified antibody (Genscript) with the epitope CVSRITPLPATSGTQYHG. Westerns were completed in the Wes automated Protein Simple system in order to determine expression levels of CNGB1 proteins. Retinas were dissected into homogenization buffer (10 mM Tris, pH 7.5, 0.5% Triton-X 100) and 1X Sigma Protease inhibitor cocktail (Roche, Florence, South Carolina) for all genotypes. A protein assay (BioRad) was performed to determine protein concentration and 0.15 mg/ml was used. CNGB1 protein expression </w:t>
      </w:r>
      <w:r>
        <w:rPr>
          <w:rFonts w:asciiTheme="majorHAnsi" w:hAnsiTheme="majorHAnsi" w:eastAsiaTheme="majorHAnsi"/>
          <w:sz w:val="23"/>
          <w:szCs w:val="23"/>
          <w:highlight w:val="yellow"/>
        </w:rPr>
        <w:t xml:space="preserve">was determined using an automated </w:t>
      </w:r>
      <w:r>
        <w:rPr>
          <w:rFonts w:hint="eastAsia" w:asciiTheme="majorHAnsi" w:hAnsiTheme="majorHAnsi" w:eastAsiaTheme="majorHAnsi"/>
          <w:sz w:val="23"/>
          <w:szCs w:val="23"/>
          <w:highlight w:val="yellow"/>
        </w:rPr>
        <w:t>“</w:t>
      </w:r>
      <w:r>
        <w:rPr>
          <w:rFonts w:asciiTheme="majorHAnsi" w:hAnsiTheme="majorHAnsi" w:eastAsiaTheme="majorHAnsi"/>
          <w:sz w:val="23"/>
          <w:szCs w:val="23"/>
          <w:highlight w:val="yellow"/>
        </w:rPr>
        <w:t>Wes</w:t>
      </w:r>
      <w:r>
        <w:rPr>
          <w:rFonts w:hint="eastAsia" w:asciiTheme="majorHAnsi" w:hAnsiTheme="majorHAnsi" w:eastAsiaTheme="majorHAnsi"/>
          <w:sz w:val="23"/>
          <w:szCs w:val="23"/>
          <w:highlight w:val="yellow"/>
        </w:rPr>
        <w:t>”</w:t>
      </w:r>
      <w:r>
        <w:rPr>
          <w:rFonts w:asciiTheme="majorHAnsi" w:hAnsiTheme="majorHAnsi" w:eastAsiaTheme="majorHAnsi"/>
          <w:sz w:val="23"/>
          <w:szCs w:val="23"/>
          <w:highlight w:val="yellow"/>
        </w:rPr>
        <w:t xml:space="preserve"> Western blotting system (ProteinSimple, Inc., San Jose, CA, USA),</w:t>
      </w:r>
      <w:r>
        <w:rPr>
          <w:rFonts w:asciiTheme="majorHAnsi" w:hAnsiTheme="majorHAnsi" w:eastAsiaTheme="majorHAnsi"/>
          <w:sz w:val="23"/>
          <w:szCs w:val="23"/>
        </w:rPr>
        <w:t xml:space="preserve"> The Wes is a capillary electrophoresis based immunodetection system that provides higher reproducibility at lower sample concentration, increased sensitivity, and higher resolution than traditional western blot protocols. The Wes ProteinSimple system was used according to the manufacturer</w:t>
      </w:r>
      <w:r>
        <w:rPr>
          <w:rFonts w:hint="eastAsia" w:asciiTheme="majorHAnsi" w:hAnsiTheme="majorHAnsi" w:eastAsiaTheme="majorHAnsi"/>
          <w:sz w:val="23"/>
          <w:szCs w:val="23"/>
        </w:rPr>
        <w:t>’</w:t>
      </w:r>
      <w:r>
        <w:rPr>
          <w:rFonts w:asciiTheme="majorHAnsi" w:hAnsiTheme="majorHAnsi" w:eastAsiaTheme="majorHAnsi"/>
          <w:sz w:val="23"/>
          <w:szCs w:val="23"/>
        </w:rPr>
        <w:t>s instructions, default settings were used. The N-terminal antibody (N-</w:t>
      </w:r>
      <w:r>
        <w:rPr>
          <w:rFonts w:asciiTheme="majorHAnsi" w:hAnsiTheme="majorHAnsi" w:eastAsiaTheme="majorHAnsi"/>
          <w:i/>
          <w:iCs/>
          <w:sz w:val="23"/>
          <w:szCs w:val="23"/>
        </w:rPr>
        <w:t xml:space="preserve">Cngb1; </w:t>
      </w:r>
      <w:r>
        <w:rPr>
          <w:rFonts w:asciiTheme="majorHAnsi" w:hAnsiTheme="majorHAnsi" w:eastAsiaTheme="majorHAnsi"/>
          <w:sz w:val="23"/>
          <w:szCs w:val="23"/>
        </w:rPr>
        <w:t xml:space="preserve">QEPPEPKDPPKPPGC) was used (1:500) to detect expression of the </w:t>
      </w:r>
      <w:r>
        <w:rPr>
          <w:rFonts w:hint="eastAsia" w:asciiTheme="majorHAnsi" w:hAnsiTheme="majorHAnsi" w:eastAsiaTheme="majorHAnsi"/>
          <w:sz w:val="23"/>
          <w:szCs w:val="23"/>
        </w:rPr>
        <w:t>β</w:t>
      </w:r>
      <w:r>
        <w:rPr>
          <w:rFonts w:asciiTheme="majorHAnsi" w:hAnsiTheme="majorHAnsi" w:eastAsiaTheme="majorHAnsi"/>
          <w:sz w:val="23"/>
          <w:szCs w:val="23"/>
        </w:rPr>
        <w:t xml:space="preserve"> -subunit and GARP2. N-</w:t>
      </w:r>
      <w:r>
        <w:rPr>
          <w:rFonts w:asciiTheme="majorHAnsi" w:hAnsiTheme="majorHAnsi" w:eastAsiaTheme="majorHAnsi"/>
          <w:i/>
          <w:iCs/>
          <w:sz w:val="23"/>
          <w:szCs w:val="23"/>
        </w:rPr>
        <w:t xml:space="preserve">Cngb1 </w:t>
      </w:r>
      <w:r>
        <w:rPr>
          <w:rFonts w:asciiTheme="majorHAnsi" w:hAnsiTheme="majorHAnsi" w:eastAsiaTheme="majorHAnsi"/>
          <w:sz w:val="23"/>
          <w:szCs w:val="23"/>
        </w:rPr>
        <w:t xml:space="preserve">was generated in rabbit and affinity purified (Genscript Inc; Piscataway, NJ). Data analysis was performed using the Compass Software (ProteinSimple) and quantitation was determined by normalizing the area under the curve of the </w:t>
      </w:r>
      <w:r>
        <w:rPr>
          <w:rFonts w:hint="eastAsia" w:asciiTheme="majorHAnsi" w:hAnsiTheme="majorHAnsi" w:eastAsiaTheme="majorHAnsi"/>
          <w:sz w:val="23"/>
          <w:szCs w:val="23"/>
        </w:rPr>
        <w:t>β</w:t>
      </w:r>
      <w:r>
        <w:rPr>
          <w:rFonts w:asciiTheme="majorHAnsi" w:hAnsiTheme="majorHAnsi" w:eastAsiaTheme="majorHAnsi"/>
          <w:sz w:val="23"/>
          <w:szCs w:val="23"/>
        </w:rPr>
        <w:t xml:space="preserve"> -subunit and GARP2 peaks by the area under the curve of the ProteinSimple internal standard peak. Representative computer generated electerophoretic images were generated by the Compass Software. Images shown contain information from capillaries run over multiple trials. The computer generated electrophoretic images displayed larger product size than is normally observed for these proteins. The very low pI of the proteins is likely the basis for the altered migration, which is even more pronounced in the capillary than is observed in an acrylamide gel51. Previous reports comparing capillary based protein migration to standard SDS gels have also shown differences (either higher or lower) in size of proteins between the two techniques</w:t>
      </w:r>
      <w:r>
        <w:rPr>
          <w:rFonts w:hint="eastAsia" w:asciiTheme="majorHAnsi" w:hAnsiTheme="majorHAnsi" w:eastAsiaTheme="majorHAnsi"/>
          <w:sz w:val="23"/>
          <w:szCs w:val="23"/>
        </w:rPr>
        <w:t>.</w:t>
      </w:r>
    </w:p>
    <w:p>
      <w:pPr>
        <w:pStyle w:val="7"/>
        <w:numPr>
          <w:ilvl w:val="0"/>
          <w:numId w:val="4"/>
        </w:numPr>
        <w:autoSpaceDE w:val="0"/>
        <w:autoSpaceDN w:val="0"/>
        <w:adjustRightInd w:val="0"/>
        <w:ind w:firstLineChars="0"/>
        <w:jc w:val="left"/>
        <w:rPr>
          <w:rFonts w:ascii="MyriadPro-Regular" w:eastAsia="MyriadPro-Regular" w:cs="MyriadPro-Regular"/>
          <w:kern w:val="0"/>
          <w:sz w:val="23"/>
          <w:szCs w:val="23"/>
        </w:rPr>
      </w:pPr>
      <w:r>
        <w:rPr>
          <w:rFonts w:cs="MyriadPro-Bold" w:asciiTheme="majorHAnsi" w:hAnsiTheme="majorHAnsi" w:eastAsiaTheme="majorHAnsi"/>
          <w:b/>
          <w:bCs/>
          <w:color w:val="4472C4" w:themeColor="accent1"/>
          <w:kern w:val="0"/>
          <w:sz w:val="23"/>
          <w:szCs w:val="23"/>
          <w14:textFill>
            <w14:solidFill>
              <w14:schemeClr w14:val="accent1"/>
            </w14:solidFill>
          </w14:textFill>
        </w:rPr>
        <w:t>HCV-W</w:t>
      </w:r>
      <w:r>
        <w:rPr>
          <w:rFonts w:hint="eastAsia" w:cs="MyriadPro-Bold" w:asciiTheme="majorHAnsi" w:hAnsiTheme="majorHAnsi" w:eastAsiaTheme="majorHAnsi"/>
          <w:b/>
          <w:bCs/>
          <w:color w:val="4472C4" w:themeColor="accent1"/>
          <w:kern w:val="0"/>
          <w:sz w:val="23"/>
          <w:szCs w:val="23"/>
          <w:lang w:val="en-US" w:eastAsia="zh-CN"/>
          <w14:textFill>
            <w14:solidFill>
              <w14:schemeClr w14:val="accent1"/>
            </w14:solidFill>
          </w14:textFill>
        </w:rPr>
        <w:t>es</w:t>
      </w:r>
      <w:r>
        <w:rPr>
          <w:rFonts w:cs="MyriadPro-Bold" w:asciiTheme="majorHAnsi" w:hAnsiTheme="majorHAnsi" w:eastAsiaTheme="majorHAnsi"/>
          <w:b/>
          <w:bCs/>
          <w:color w:val="4472C4" w:themeColor="accent1"/>
          <w:kern w:val="0"/>
          <w:sz w:val="23"/>
          <w:szCs w:val="23"/>
          <w14:textFill>
            <w14:solidFill>
              <w14:schemeClr w14:val="accent1"/>
            </w14:solidFill>
          </w14:textFill>
        </w:rPr>
        <w:t xml:space="preserve"> procedure. </w:t>
      </w:r>
      <w:r>
        <w:rPr>
          <w:rFonts w:cs="MyriadPro-Regular" w:asciiTheme="majorHAnsi" w:hAnsiTheme="majorHAnsi" w:eastAsiaTheme="majorHAnsi"/>
          <w:kern w:val="0"/>
          <w:sz w:val="23"/>
          <w:szCs w:val="23"/>
        </w:rPr>
        <w:t>A commercially available 4th-generation recombinant HCV antigen (46 kDa) (ProSpec Bio, Israel) containing a medium-sized core (55 amino acids), nonstructural protein 3 (NS3) (226</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amino acids), three epitopes from the NS4 protein, and three epitopes from the NS5 protein was used</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to detect IgG antibodies to HCV. Prior to loading the samples on the WES separation module cartridge</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(ProteinSimple, San Jose, CA), antigen was diluted 1:500 in 0.1</w:t>
      </w:r>
      <w:r>
        <w:rPr>
          <w:rFonts w:cs="Universal-GreekwithMathPi" w:asciiTheme="majorHAnsi" w:hAnsiTheme="majorHAnsi" w:eastAsiaTheme="majorHAnsi"/>
          <w:kern w:val="0"/>
          <w:sz w:val="23"/>
          <w:szCs w:val="23"/>
        </w:rPr>
        <w:t xml:space="preserve">_ </w:t>
      </w:r>
      <w:r>
        <w:rPr>
          <w:rFonts w:cs="MyriadPro-Regular" w:asciiTheme="majorHAnsi" w:hAnsiTheme="majorHAnsi" w:eastAsiaTheme="majorHAnsi"/>
          <w:kern w:val="0"/>
          <w:sz w:val="23"/>
          <w:szCs w:val="23"/>
        </w:rPr>
        <w:t>sample dilution buffer (ProteinSimple,</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San Jose, CA), and the secondary antibody and plasma samples were diluted 1:2,000 and 1:20 in the</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antibody diluent (ProteinSimple, San Jose, CA). The cartridges were loaded according to the manufacturer</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s instructions, with the following modifications: diluted antigen was run in the capillaries as the</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sample,</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 xml:space="preserve"> diluted human serum was run as the </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primary antibody,</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 xml:space="preserve"> and the 1:2,000 dilution of the goat</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anti-human IgG labeled with horseradish peroxidase (HRP) (SeraCare, Milford, MA) replaced the secondary</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 xml:space="preserve">antibody from the anti-rabbit detection module (ProteinSimple, San Jose, CA). </w:t>
      </w:r>
      <w:r>
        <w:rPr>
          <w:rFonts w:cs="MyriadPro-Regular" w:asciiTheme="majorHAnsi" w:hAnsiTheme="majorHAnsi" w:eastAsiaTheme="majorHAnsi"/>
          <w:kern w:val="0"/>
          <w:sz w:val="23"/>
          <w:szCs w:val="23"/>
          <w:highlight w:val="yellow"/>
        </w:rPr>
        <w:t>All reagents were</w:t>
      </w:r>
      <w:r>
        <w:rPr>
          <w:rFonts w:hint="eastAsia" w:cs="MyriadPro-Regular" w:asciiTheme="majorHAnsi" w:hAnsiTheme="majorHAnsi" w:eastAsiaTheme="majorHAnsi"/>
          <w:kern w:val="0"/>
          <w:sz w:val="23"/>
          <w:szCs w:val="23"/>
          <w:highlight w:val="yellow"/>
        </w:rPr>
        <w:t xml:space="preserve"> </w:t>
      </w:r>
      <w:r>
        <w:rPr>
          <w:rFonts w:cs="MyriadPro-Regular" w:asciiTheme="majorHAnsi" w:hAnsiTheme="majorHAnsi" w:eastAsiaTheme="majorHAnsi"/>
          <w:kern w:val="0"/>
          <w:sz w:val="23"/>
          <w:szCs w:val="23"/>
          <w:highlight w:val="yellow"/>
        </w:rPr>
        <w:t>loaded into a sample cartridge placed into the automated immunoblotter, W</w:t>
      </w:r>
      <w:r>
        <w:rPr>
          <w:rFonts w:hint="eastAsia" w:cs="MyriadPro-Regular" w:asciiTheme="majorHAnsi" w:hAnsiTheme="majorHAnsi" w:eastAsiaTheme="majorHAnsi"/>
          <w:kern w:val="0"/>
          <w:sz w:val="23"/>
          <w:szCs w:val="23"/>
          <w:highlight w:val="yellow"/>
          <w:lang w:val="en-US" w:eastAsia="zh-CN"/>
        </w:rPr>
        <w:t>es</w:t>
      </w:r>
      <w:r>
        <w:rPr>
          <w:rFonts w:cs="MyriadPro-Regular" w:asciiTheme="majorHAnsi" w:hAnsiTheme="majorHAnsi" w:eastAsiaTheme="majorHAnsi"/>
          <w:kern w:val="0"/>
          <w:sz w:val="23"/>
          <w:szCs w:val="23"/>
          <w:highlight w:val="yellow"/>
        </w:rPr>
        <w:t xml:space="preserve">, with the capillary cartridge. </w:t>
      </w:r>
      <w:r>
        <w:rPr>
          <w:rFonts w:cs="MyriadPro-Regular" w:asciiTheme="majorHAnsi" w:hAnsiTheme="majorHAnsi" w:eastAsiaTheme="majorHAnsi"/>
          <w:kern w:val="0"/>
          <w:sz w:val="23"/>
          <w:szCs w:val="23"/>
        </w:rPr>
        <w:t>The 4th-generation antigen was separated in the proprietary separation matrix in the capillaries</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by size. The anti-HCV antibodies from the serum or plasma samples are captured/bound to the</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cross-linked HCV antigen, and a signal is produced from the HRP-labeled secondary antibody, which is</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digitally recorded upon a chemiluminescent reaction. The anti-HCV antibodies from the diluted serum or</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plasma samples are run over the cross-linked HCV antigen, and the capillary is washed. HRP-labeled</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 xml:space="preserve">secondary </w:t>
      </w:r>
      <w:bookmarkStart w:id="0" w:name="_GoBack"/>
      <w:bookmarkEnd w:id="0"/>
      <w:r>
        <w:rPr>
          <w:rFonts w:cs="MyriadPro-Regular" w:asciiTheme="majorHAnsi" w:hAnsiTheme="majorHAnsi" w:eastAsiaTheme="majorHAnsi"/>
          <w:kern w:val="0"/>
          <w:sz w:val="23"/>
          <w:szCs w:val="23"/>
        </w:rPr>
        <w:t>antibody is then applied over the bound antibodies and washed again. The signal, produced</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 xml:space="preserve">upon the primary antibody from human serum or plasma binding to the anti-HCV antigen, </w:t>
      </w:r>
      <w:r>
        <w:rPr>
          <w:rFonts w:cs="MyriadPro-Regular" w:asciiTheme="majorHAnsi" w:hAnsiTheme="majorHAnsi" w:eastAsiaTheme="majorHAnsi"/>
          <w:kern w:val="0"/>
          <w:sz w:val="23"/>
          <w:szCs w:val="23"/>
          <w:highlight w:val="yellow"/>
        </w:rPr>
        <w:t>is measured</w:t>
      </w:r>
      <w:r>
        <w:rPr>
          <w:rFonts w:hint="eastAsia" w:cs="MyriadPro-Regular" w:asciiTheme="majorHAnsi" w:hAnsiTheme="majorHAnsi" w:eastAsiaTheme="majorHAnsi"/>
          <w:kern w:val="0"/>
          <w:sz w:val="23"/>
          <w:szCs w:val="23"/>
          <w:highlight w:val="yellow"/>
        </w:rPr>
        <w:t xml:space="preserve"> </w:t>
      </w:r>
      <w:r>
        <w:rPr>
          <w:rFonts w:cs="MyriadPro-Regular" w:asciiTheme="majorHAnsi" w:hAnsiTheme="majorHAnsi" w:eastAsiaTheme="majorHAnsi"/>
          <w:kern w:val="0"/>
          <w:sz w:val="23"/>
          <w:szCs w:val="23"/>
          <w:highlight w:val="yellow"/>
        </w:rPr>
        <w:t>and digitally recorded after a 5-s exposure. Compass software, supplied by ProteinSimple, captures data</w:t>
      </w:r>
      <w:r>
        <w:rPr>
          <w:rFonts w:hint="eastAsia" w:cs="MyriadPro-Regular" w:asciiTheme="majorHAnsi" w:hAnsiTheme="majorHAnsi" w:eastAsiaTheme="majorHAnsi"/>
          <w:kern w:val="0"/>
          <w:sz w:val="23"/>
          <w:szCs w:val="23"/>
          <w:highlight w:val="yellow"/>
        </w:rPr>
        <w:t xml:space="preserve"> </w:t>
      </w:r>
      <w:r>
        <w:rPr>
          <w:rFonts w:cs="MyriadPro-Regular" w:asciiTheme="majorHAnsi" w:hAnsiTheme="majorHAnsi" w:eastAsiaTheme="majorHAnsi"/>
          <w:kern w:val="0"/>
          <w:sz w:val="23"/>
          <w:szCs w:val="23"/>
          <w:highlight w:val="yellow"/>
        </w:rPr>
        <w:t xml:space="preserve">as a chemiluminescent image of the capillary. </w:t>
      </w:r>
      <w:r>
        <w:rPr>
          <w:rFonts w:cs="MyriadPro-Regular" w:asciiTheme="majorHAnsi" w:hAnsiTheme="majorHAnsi" w:eastAsiaTheme="majorHAnsi"/>
          <w:kern w:val="0"/>
          <w:sz w:val="23"/>
          <w:szCs w:val="23"/>
        </w:rPr>
        <w:t>The software determines when the signal is higher than</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the noise and records it in the form of peaks or bands (both views are available). The background</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 xml:space="preserve">determination is based on a </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dark</w:t>
      </w:r>
      <w:r>
        <w:rPr>
          <w:rFonts w:hint="eastAsia" w:cs="MyriadPro-Regular" w:asciiTheme="majorHAnsi" w:hAnsiTheme="majorHAnsi" w:eastAsiaTheme="majorHAnsi"/>
          <w:kern w:val="0"/>
          <w:sz w:val="23"/>
          <w:szCs w:val="23"/>
        </w:rPr>
        <w:t>”</w:t>
      </w:r>
      <w:r>
        <w:rPr>
          <w:rFonts w:cs="MyriadPro-Regular" w:asciiTheme="majorHAnsi" w:hAnsiTheme="majorHAnsi" w:eastAsiaTheme="majorHAnsi"/>
          <w:kern w:val="0"/>
          <w:sz w:val="23"/>
          <w:szCs w:val="23"/>
        </w:rPr>
        <w:t xml:space="preserve"> image of the loaded capillaries (i.e., immobilized proteins and</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antibodies) taken just prior to substrate loading (e.g., luminol/peroxide). This will capture any artifacts</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derived from sources not induced by the enzymatic reaction. Next, the substrate is loaded, and a</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subsequent image is captured with emission from the luminol. Compass will then subtract the emission</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image with the dark image pixel for pixel to determine corrected signal responses. A system control,provided in the running buffer, is used with every sample to monitor uniformity of separation between</w:t>
      </w:r>
      <w:r>
        <w:rPr>
          <w:rFonts w:hint="eastAsia" w:cs="MyriadPro-Regular" w:asciiTheme="majorHAnsi" w:hAnsiTheme="majorHAnsi" w:eastAsiaTheme="majorHAnsi"/>
          <w:kern w:val="0"/>
          <w:sz w:val="23"/>
          <w:szCs w:val="23"/>
        </w:rPr>
        <w:t xml:space="preserve"> </w:t>
      </w:r>
      <w:r>
        <w:rPr>
          <w:rFonts w:cs="MyriadPro-Regular" w:asciiTheme="majorHAnsi" w:hAnsiTheme="majorHAnsi" w:eastAsiaTheme="majorHAnsi"/>
          <w:kern w:val="0"/>
          <w:sz w:val="23"/>
          <w:szCs w:val="23"/>
        </w:rPr>
        <w:t xml:space="preserve">different capillaries. In the case of HCV-WES, if </w:t>
      </w:r>
      <w:r>
        <w:rPr>
          <w:rFonts w:cs="MyriadPro-Regular" w:asciiTheme="minorEastAsia" w:hAnsiTheme="minorEastAsia"/>
          <w:kern w:val="0"/>
          <w:sz w:val="23"/>
          <w:szCs w:val="23"/>
        </w:rPr>
        <w:t>a band of 42 kDa is detected by the instrument, the sample is considered anti-HCV positive regardless of the band intensity value.</w:t>
      </w:r>
    </w:p>
    <w:p>
      <w:pPr>
        <w:pStyle w:val="7"/>
        <w:numPr>
          <w:ilvl w:val="0"/>
          <w:numId w:val="4"/>
        </w:numPr>
        <w:autoSpaceDE w:val="0"/>
        <w:autoSpaceDN w:val="0"/>
        <w:adjustRightInd w:val="0"/>
        <w:ind w:firstLineChars="0"/>
        <w:jc w:val="left"/>
        <w:rPr>
          <w:rFonts w:ascii="MyriadPro-Regular" w:eastAsia="MyriadPro-Regular" w:cs="MyriadPro-Regular"/>
          <w:kern w:val="0"/>
          <w:sz w:val="23"/>
          <w:szCs w:val="23"/>
        </w:rPr>
      </w:pPr>
      <w:r>
        <w:drawing>
          <wp:inline distT="0" distB="0" distL="114300" distR="114300">
            <wp:extent cx="5433695" cy="7352030"/>
            <wp:effectExtent l="0" t="0" r="1460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433695" cy="7352030"/>
                    </a:xfrm>
                    <a:prstGeom prst="rect">
                      <a:avLst/>
                    </a:prstGeom>
                    <a:noFill/>
                    <a:ln>
                      <a:noFill/>
                    </a:ln>
                  </pic:spPr>
                </pic:pic>
              </a:graphicData>
            </a:graphic>
          </wp:inline>
        </w:drawing>
      </w:r>
    </w:p>
    <w:p>
      <w:pPr>
        <w:pStyle w:val="7"/>
        <w:numPr>
          <w:ilvl w:val="0"/>
          <w:numId w:val="4"/>
        </w:numPr>
        <w:autoSpaceDE w:val="0"/>
        <w:autoSpaceDN w:val="0"/>
        <w:adjustRightInd w:val="0"/>
        <w:ind w:firstLineChars="0"/>
        <w:jc w:val="left"/>
        <w:rPr>
          <w:rFonts w:ascii="MyriadPro-Regular" w:eastAsia="MyriadPro-Regular" w:cs="MyriadPro-Regular"/>
          <w:kern w:val="0"/>
          <w:sz w:val="23"/>
          <w:szCs w:val="23"/>
        </w:rPr>
      </w:pPr>
      <w:r>
        <w:drawing>
          <wp:inline distT="0" distB="0" distL="114300" distR="114300">
            <wp:extent cx="5479415" cy="3915410"/>
            <wp:effectExtent l="0" t="0" r="6985" b="889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5479415" cy="3915410"/>
                    </a:xfrm>
                    <a:prstGeom prst="rect">
                      <a:avLst/>
                    </a:prstGeom>
                    <a:noFill/>
                    <a:ln>
                      <a:noFill/>
                    </a:ln>
                  </pic:spPr>
                </pic:pic>
              </a:graphicData>
            </a:graphic>
          </wp:inline>
        </w:drawing>
      </w:r>
    </w:p>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yriadPro-Regular">
    <w:altName w:val="微软雅黑"/>
    <w:panose1 w:val="00000000000000000000"/>
    <w:charset w:val="86"/>
    <w:family w:val="auto"/>
    <w:pitch w:val="default"/>
    <w:sig w:usb0="00000000" w:usb1="00000000" w:usb2="00000010" w:usb3="00000000" w:csb0="00040000" w:csb1="00000000"/>
  </w:font>
  <w:font w:name="MyriadPro-Bold">
    <w:altName w:val="微软雅黑"/>
    <w:panose1 w:val="00000000000000000000"/>
    <w:charset w:val="86"/>
    <w:family w:val="auto"/>
    <w:pitch w:val="default"/>
    <w:sig w:usb0="00000000" w:usb1="00000000" w:usb2="00000010" w:usb3="00000000" w:csb0="00040000" w:csb1="00000000"/>
  </w:font>
  <w:font w:name="Universal-GreekwithMathPi">
    <w:altName w:val="Calibri"/>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836F"/>
    <w:multiLevelType w:val="singleLevel"/>
    <w:tmpl w:val="83E8836F"/>
    <w:lvl w:ilvl="0" w:tentative="0">
      <w:start w:val="1"/>
      <w:numFmt w:val="bullet"/>
      <w:lvlText w:val=""/>
      <w:lvlJc w:val="left"/>
      <w:pPr>
        <w:ind w:left="420" w:hanging="420"/>
      </w:pPr>
      <w:rPr>
        <w:rFonts w:hint="default" w:ascii="Wingdings" w:hAnsi="Wingdings"/>
      </w:rPr>
    </w:lvl>
  </w:abstractNum>
  <w:abstractNum w:abstractNumId="1">
    <w:nsid w:val="42654D03"/>
    <w:multiLevelType w:val="multilevel"/>
    <w:tmpl w:val="42654D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1E2D90"/>
    <w:multiLevelType w:val="multilevel"/>
    <w:tmpl w:val="6F1E2D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CA9B481"/>
    <w:multiLevelType w:val="singleLevel"/>
    <w:tmpl w:val="7CA9B481"/>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ZmVjOTNkNTg5ODVkNmQ1YjI5M2EyZjJmZGMzNjUifQ=="/>
  </w:docVars>
  <w:rsids>
    <w:rsidRoot w:val="00B9702C"/>
    <w:rsid w:val="00196EEB"/>
    <w:rsid w:val="001D14AE"/>
    <w:rsid w:val="001F55FA"/>
    <w:rsid w:val="002D3589"/>
    <w:rsid w:val="002E640D"/>
    <w:rsid w:val="00317320"/>
    <w:rsid w:val="00386A04"/>
    <w:rsid w:val="003A71F3"/>
    <w:rsid w:val="003F734F"/>
    <w:rsid w:val="00414144"/>
    <w:rsid w:val="004D001A"/>
    <w:rsid w:val="00562719"/>
    <w:rsid w:val="00584276"/>
    <w:rsid w:val="00661794"/>
    <w:rsid w:val="00676336"/>
    <w:rsid w:val="00694B5B"/>
    <w:rsid w:val="006D015D"/>
    <w:rsid w:val="0072404F"/>
    <w:rsid w:val="00750768"/>
    <w:rsid w:val="007E5AB2"/>
    <w:rsid w:val="008C59AA"/>
    <w:rsid w:val="008F7092"/>
    <w:rsid w:val="0098251E"/>
    <w:rsid w:val="009979C0"/>
    <w:rsid w:val="009B410C"/>
    <w:rsid w:val="00A30BAE"/>
    <w:rsid w:val="00A34B46"/>
    <w:rsid w:val="00A37B76"/>
    <w:rsid w:val="00A71B95"/>
    <w:rsid w:val="00A9173A"/>
    <w:rsid w:val="00B03FA6"/>
    <w:rsid w:val="00B34CDF"/>
    <w:rsid w:val="00B36DC4"/>
    <w:rsid w:val="00B42C5A"/>
    <w:rsid w:val="00B62845"/>
    <w:rsid w:val="00B9702C"/>
    <w:rsid w:val="00BB1820"/>
    <w:rsid w:val="00C03E2A"/>
    <w:rsid w:val="00C41DD6"/>
    <w:rsid w:val="00E13DD2"/>
    <w:rsid w:val="042E24FA"/>
    <w:rsid w:val="0BF7756D"/>
    <w:rsid w:val="19C45EE2"/>
    <w:rsid w:val="1E530C37"/>
    <w:rsid w:val="264D0AF2"/>
    <w:rsid w:val="328B1A82"/>
    <w:rsid w:val="3FDD7997"/>
    <w:rsid w:val="40A25B3E"/>
    <w:rsid w:val="420567BB"/>
    <w:rsid w:val="422E3C8B"/>
    <w:rsid w:val="61492E4C"/>
    <w:rsid w:val="75C80EBE"/>
    <w:rsid w:val="7835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paragraph" w:styleId="7">
    <w:name w:val="List Paragraph"/>
    <w:basedOn w:val="1"/>
    <w:autoRedefine/>
    <w:qFormat/>
    <w:uiPriority w:val="34"/>
    <w:pPr>
      <w:ind w:firstLine="420" w:firstLineChars="200"/>
    </w:p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1410</Words>
  <Characters>8040</Characters>
  <Lines>67</Lines>
  <Paragraphs>18</Paragraphs>
  <TotalTime>10</TotalTime>
  <ScaleCrop>false</ScaleCrop>
  <LinksUpToDate>false</LinksUpToDate>
  <CharactersWithSpaces>9432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2021-02-03T06:42:00Z</dcterms:created>
  <dc:creator>Administrator</dc:creator>
  <cp:lastModifiedBy>WPS_1602054521</cp:lastModifiedBy>
  <dcterms:modified xsi:type="dcterms:W3CDTF">2024-03-21T08:15:13Z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B07B4897DEA742DAA1EF185ACA0E0B98</vt:lpwstr>
  </property>
</Properties>
</file>